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7E" w:rsidRPr="00BB357E" w:rsidRDefault="00BB357E" w:rsidP="00BB357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Єдиний</w:t>
      </w:r>
      <w:proofErr w:type="spellEnd"/>
      <w:r w:rsidRPr="00BB35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соціальний</w:t>
      </w:r>
      <w:proofErr w:type="spellEnd"/>
      <w:r w:rsidRPr="00BB35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внесок</w:t>
      </w:r>
      <w:proofErr w:type="spellEnd"/>
    </w:p>
    <w:p w:rsidR="00BB357E" w:rsidRPr="00BB357E" w:rsidRDefault="00BB357E" w:rsidP="00BB357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357E">
        <w:rPr>
          <w:color w:val="000000"/>
          <w:sz w:val="28"/>
          <w:szCs w:val="28"/>
        </w:rPr>
        <w:t xml:space="preserve">Для </w:t>
      </w:r>
      <w:proofErr w:type="spellStart"/>
      <w:r w:rsidRPr="00BB357E">
        <w:rPr>
          <w:color w:val="000000"/>
          <w:sz w:val="28"/>
          <w:szCs w:val="28"/>
        </w:rPr>
        <w:t>підприємців-роботодавців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запроваджено</w:t>
      </w:r>
      <w:proofErr w:type="spellEnd"/>
      <w:r w:rsidRPr="00BB357E">
        <w:rPr>
          <w:color w:val="000000"/>
          <w:sz w:val="28"/>
          <w:szCs w:val="28"/>
        </w:rPr>
        <w:t xml:space="preserve"> ставку ЄСВ у </w:t>
      </w:r>
      <w:proofErr w:type="spellStart"/>
      <w:r w:rsidRPr="00BB357E">
        <w:rPr>
          <w:color w:val="000000"/>
          <w:sz w:val="28"/>
          <w:szCs w:val="28"/>
        </w:rPr>
        <w:t>розмірі</w:t>
      </w:r>
      <w:proofErr w:type="spellEnd"/>
      <w:r w:rsidRPr="00BB357E">
        <w:rPr>
          <w:color w:val="000000"/>
          <w:sz w:val="28"/>
          <w:szCs w:val="28"/>
        </w:rPr>
        <w:t xml:space="preserve"> 22% </w:t>
      </w:r>
      <w:proofErr w:type="spellStart"/>
      <w:r w:rsidRPr="00BB357E">
        <w:rPr>
          <w:color w:val="000000"/>
          <w:sz w:val="28"/>
          <w:szCs w:val="28"/>
        </w:rPr>
        <w:t>бази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bookmarkStart w:id="0" w:name="_GoBack"/>
      <w:proofErr w:type="spellStart"/>
      <w:r w:rsidRPr="00BB357E">
        <w:rPr>
          <w:color w:val="000000"/>
          <w:sz w:val="28"/>
          <w:szCs w:val="28"/>
        </w:rPr>
        <w:t>нарахування</w:t>
      </w:r>
      <w:proofErr w:type="spellEnd"/>
      <w:r w:rsidRPr="00BB357E">
        <w:rPr>
          <w:color w:val="000000"/>
          <w:sz w:val="28"/>
          <w:szCs w:val="28"/>
        </w:rPr>
        <w:t xml:space="preserve"> ЄСВ. Сума ЄСВ не </w:t>
      </w:r>
      <w:proofErr w:type="spellStart"/>
      <w:r w:rsidRPr="00BB357E">
        <w:rPr>
          <w:color w:val="000000"/>
          <w:sz w:val="28"/>
          <w:szCs w:val="28"/>
        </w:rPr>
        <w:t>може</w:t>
      </w:r>
      <w:proofErr w:type="spellEnd"/>
      <w:r w:rsidRPr="00BB357E">
        <w:rPr>
          <w:color w:val="000000"/>
          <w:sz w:val="28"/>
          <w:szCs w:val="28"/>
        </w:rPr>
        <w:t xml:space="preserve"> бути </w:t>
      </w:r>
      <w:proofErr w:type="spellStart"/>
      <w:r w:rsidRPr="00BB357E">
        <w:rPr>
          <w:color w:val="000000"/>
          <w:sz w:val="28"/>
          <w:szCs w:val="28"/>
        </w:rPr>
        <w:t>меншою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від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розміру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bookmarkEnd w:id="0"/>
      <w:proofErr w:type="spellStart"/>
      <w:r w:rsidRPr="00BB357E">
        <w:rPr>
          <w:color w:val="000000"/>
          <w:sz w:val="28"/>
          <w:szCs w:val="28"/>
        </w:rPr>
        <w:t>мінімального</w:t>
      </w:r>
      <w:proofErr w:type="spellEnd"/>
      <w:r w:rsidRPr="00BB357E">
        <w:rPr>
          <w:color w:val="000000"/>
          <w:sz w:val="28"/>
          <w:szCs w:val="28"/>
        </w:rPr>
        <w:t xml:space="preserve"> страхового </w:t>
      </w:r>
      <w:proofErr w:type="spellStart"/>
      <w:r w:rsidRPr="00BB357E">
        <w:rPr>
          <w:color w:val="000000"/>
          <w:sz w:val="28"/>
          <w:szCs w:val="28"/>
        </w:rPr>
        <w:t>внеску</w:t>
      </w:r>
      <w:proofErr w:type="spellEnd"/>
      <w:r w:rsidRPr="00BB357E">
        <w:rPr>
          <w:color w:val="000000"/>
          <w:sz w:val="28"/>
          <w:szCs w:val="28"/>
        </w:rPr>
        <w:t xml:space="preserve"> на </w:t>
      </w:r>
      <w:proofErr w:type="spellStart"/>
      <w:r w:rsidRPr="00BB357E">
        <w:rPr>
          <w:color w:val="000000"/>
          <w:sz w:val="28"/>
          <w:szCs w:val="28"/>
        </w:rPr>
        <w:t>місяць</w:t>
      </w:r>
      <w:proofErr w:type="spellEnd"/>
      <w:r w:rsidRPr="00BB357E">
        <w:rPr>
          <w:color w:val="000000"/>
          <w:sz w:val="28"/>
          <w:szCs w:val="28"/>
        </w:rPr>
        <w:t xml:space="preserve">, </w:t>
      </w:r>
      <w:proofErr w:type="spellStart"/>
      <w:r w:rsidRPr="00BB357E">
        <w:rPr>
          <w:color w:val="000000"/>
          <w:sz w:val="28"/>
          <w:szCs w:val="28"/>
        </w:rPr>
        <w:t>який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обчислюється</w:t>
      </w:r>
      <w:proofErr w:type="spellEnd"/>
      <w:r w:rsidRPr="00BB357E">
        <w:rPr>
          <w:color w:val="000000"/>
          <w:sz w:val="28"/>
          <w:szCs w:val="28"/>
        </w:rPr>
        <w:t xml:space="preserve"> як </w:t>
      </w:r>
      <w:proofErr w:type="spellStart"/>
      <w:r w:rsidRPr="00BB357E">
        <w:rPr>
          <w:color w:val="000000"/>
          <w:sz w:val="28"/>
          <w:szCs w:val="28"/>
        </w:rPr>
        <w:t>добуток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мінімальної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зарплати</w:t>
      </w:r>
      <w:proofErr w:type="spellEnd"/>
      <w:r w:rsidRPr="00BB357E">
        <w:rPr>
          <w:color w:val="000000"/>
          <w:sz w:val="28"/>
          <w:szCs w:val="28"/>
        </w:rPr>
        <w:t xml:space="preserve"> та ставки ЄСВ (22%).</w:t>
      </w:r>
    </w:p>
    <w:p w:rsidR="00BB357E" w:rsidRPr="00BB357E" w:rsidRDefault="00BB357E" w:rsidP="00BB357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357E">
        <w:rPr>
          <w:color w:val="000000"/>
          <w:sz w:val="28"/>
          <w:szCs w:val="28"/>
        </w:rPr>
        <w:t xml:space="preserve">У </w:t>
      </w:r>
      <w:proofErr w:type="spellStart"/>
      <w:r w:rsidRPr="00BB357E">
        <w:rPr>
          <w:color w:val="000000"/>
          <w:sz w:val="28"/>
          <w:szCs w:val="28"/>
        </w:rPr>
        <w:t>питанні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нарахування</w:t>
      </w:r>
      <w:proofErr w:type="spellEnd"/>
      <w:r w:rsidRPr="00BB357E">
        <w:rPr>
          <w:color w:val="000000"/>
          <w:sz w:val="28"/>
          <w:szCs w:val="28"/>
        </w:rPr>
        <w:t xml:space="preserve"> ЄСВ у 2021 року </w:t>
      </w:r>
      <w:proofErr w:type="spellStart"/>
      <w:r w:rsidRPr="00BB357E">
        <w:rPr>
          <w:color w:val="000000"/>
          <w:sz w:val="28"/>
          <w:szCs w:val="28"/>
        </w:rPr>
        <w:t>змін</w:t>
      </w:r>
      <w:proofErr w:type="spellEnd"/>
      <w:r w:rsidRPr="00BB357E">
        <w:rPr>
          <w:color w:val="000000"/>
          <w:sz w:val="28"/>
          <w:szCs w:val="28"/>
        </w:rPr>
        <w:t xml:space="preserve"> не </w:t>
      </w:r>
      <w:proofErr w:type="spellStart"/>
      <w:r w:rsidRPr="00BB357E">
        <w:rPr>
          <w:color w:val="000000"/>
          <w:sz w:val="28"/>
          <w:szCs w:val="28"/>
        </w:rPr>
        <w:t>відбулося</w:t>
      </w:r>
      <w:proofErr w:type="spellEnd"/>
      <w:r w:rsidRPr="00BB357E">
        <w:rPr>
          <w:color w:val="000000"/>
          <w:sz w:val="28"/>
          <w:szCs w:val="28"/>
        </w:rPr>
        <w:t xml:space="preserve">. Як і </w:t>
      </w:r>
      <w:proofErr w:type="spellStart"/>
      <w:r w:rsidRPr="00BB357E">
        <w:rPr>
          <w:color w:val="000000"/>
          <w:sz w:val="28"/>
          <w:szCs w:val="28"/>
        </w:rPr>
        <w:t>раніше</w:t>
      </w:r>
      <w:proofErr w:type="spellEnd"/>
      <w:r w:rsidRPr="00BB357E">
        <w:rPr>
          <w:color w:val="000000"/>
          <w:sz w:val="28"/>
          <w:szCs w:val="28"/>
        </w:rPr>
        <w:t xml:space="preserve">, </w:t>
      </w:r>
      <w:proofErr w:type="spellStart"/>
      <w:r w:rsidRPr="00BB357E">
        <w:rPr>
          <w:color w:val="000000"/>
          <w:sz w:val="28"/>
          <w:szCs w:val="28"/>
        </w:rPr>
        <w:t>роботодавці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зобов’язані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сплачувати</w:t>
      </w:r>
      <w:proofErr w:type="spellEnd"/>
      <w:r w:rsidRPr="00BB357E">
        <w:rPr>
          <w:color w:val="000000"/>
          <w:sz w:val="28"/>
          <w:szCs w:val="28"/>
        </w:rPr>
        <w:t xml:space="preserve"> ЄСВ у </w:t>
      </w:r>
      <w:proofErr w:type="spellStart"/>
      <w:r w:rsidRPr="00BB357E">
        <w:rPr>
          <w:color w:val="000000"/>
          <w:sz w:val="28"/>
          <w:szCs w:val="28"/>
        </w:rPr>
        <w:t>розмірі</w:t>
      </w:r>
      <w:proofErr w:type="spellEnd"/>
      <w:r w:rsidRPr="00BB357E">
        <w:rPr>
          <w:color w:val="000000"/>
          <w:sz w:val="28"/>
          <w:szCs w:val="28"/>
        </w:rPr>
        <w:t xml:space="preserve">, не </w:t>
      </w:r>
      <w:proofErr w:type="spellStart"/>
      <w:r w:rsidRPr="00BB357E">
        <w:rPr>
          <w:color w:val="000000"/>
          <w:sz w:val="28"/>
          <w:szCs w:val="28"/>
        </w:rPr>
        <w:t>меншому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від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мінімального</w:t>
      </w:r>
      <w:proofErr w:type="spellEnd"/>
      <w:r w:rsidRPr="00BB357E">
        <w:rPr>
          <w:color w:val="000000"/>
          <w:sz w:val="28"/>
          <w:szCs w:val="28"/>
        </w:rPr>
        <w:t xml:space="preserve"> страхового </w:t>
      </w:r>
      <w:proofErr w:type="spellStart"/>
      <w:r w:rsidRPr="00BB357E">
        <w:rPr>
          <w:color w:val="000000"/>
          <w:sz w:val="28"/>
          <w:szCs w:val="28"/>
        </w:rPr>
        <w:t>внеску</w:t>
      </w:r>
      <w:proofErr w:type="spellEnd"/>
      <w:r w:rsidRPr="00BB357E">
        <w:rPr>
          <w:color w:val="000000"/>
          <w:sz w:val="28"/>
          <w:szCs w:val="28"/>
        </w:rPr>
        <w:t xml:space="preserve">, </w:t>
      </w:r>
      <w:proofErr w:type="spellStart"/>
      <w:r w:rsidRPr="00BB357E">
        <w:rPr>
          <w:color w:val="000000"/>
          <w:sz w:val="28"/>
          <w:szCs w:val="28"/>
        </w:rPr>
        <w:t>який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обчислюється</w:t>
      </w:r>
      <w:proofErr w:type="spellEnd"/>
      <w:r w:rsidRPr="00BB357E">
        <w:rPr>
          <w:color w:val="000000"/>
          <w:sz w:val="28"/>
          <w:szCs w:val="28"/>
        </w:rPr>
        <w:t xml:space="preserve"> як </w:t>
      </w:r>
      <w:proofErr w:type="spellStart"/>
      <w:r w:rsidRPr="00BB357E">
        <w:rPr>
          <w:color w:val="000000"/>
          <w:sz w:val="28"/>
          <w:szCs w:val="28"/>
        </w:rPr>
        <w:t>добуток</w:t>
      </w:r>
      <w:proofErr w:type="spellEnd"/>
      <w:r w:rsidRPr="00BB357E">
        <w:rPr>
          <w:color w:val="000000"/>
          <w:sz w:val="28"/>
          <w:szCs w:val="28"/>
        </w:rPr>
        <w:t xml:space="preserve"> МЗП та ставки ЄСВ (22%). А для </w:t>
      </w:r>
      <w:proofErr w:type="spellStart"/>
      <w:r w:rsidRPr="00BB357E">
        <w:rPr>
          <w:color w:val="000000"/>
          <w:sz w:val="28"/>
          <w:szCs w:val="28"/>
        </w:rPr>
        <w:t>підприємців</w:t>
      </w:r>
      <w:proofErr w:type="spellEnd"/>
      <w:r w:rsidRPr="00BB357E">
        <w:rPr>
          <w:color w:val="000000"/>
          <w:sz w:val="28"/>
          <w:szCs w:val="28"/>
        </w:rPr>
        <w:t xml:space="preserve">, у </w:t>
      </w:r>
      <w:proofErr w:type="spellStart"/>
      <w:r w:rsidRPr="00BB357E">
        <w:rPr>
          <w:color w:val="000000"/>
          <w:sz w:val="28"/>
          <w:szCs w:val="28"/>
        </w:rPr>
        <w:t>яких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працюють</w:t>
      </w:r>
      <w:proofErr w:type="spellEnd"/>
      <w:r w:rsidRPr="00BB357E">
        <w:rPr>
          <w:color w:val="000000"/>
          <w:sz w:val="28"/>
          <w:szCs w:val="28"/>
        </w:rPr>
        <w:t xml:space="preserve"> особи з </w:t>
      </w:r>
      <w:proofErr w:type="spellStart"/>
      <w:r w:rsidRPr="00BB357E">
        <w:rPr>
          <w:color w:val="000000"/>
          <w:sz w:val="28"/>
          <w:szCs w:val="28"/>
        </w:rPr>
        <w:t>інвалідністю</w:t>
      </w:r>
      <w:proofErr w:type="spellEnd"/>
      <w:r w:rsidRPr="00BB357E">
        <w:rPr>
          <w:color w:val="000000"/>
          <w:sz w:val="28"/>
          <w:szCs w:val="28"/>
        </w:rPr>
        <w:t>, ставку</w:t>
      </w:r>
    </w:p>
    <w:p w:rsidR="00BB357E" w:rsidRPr="00BB357E" w:rsidRDefault="00BB357E" w:rsidP="00BB357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357E">
        <w:rPr>
          <w:color w:val="000000"/>
          <w:sz w:val="28"/>
          <w:szCs w:val="28"/>
        </w:rPr>
        <w:t xml:space="preserve">ЄСВ установлено в </w:t>
      </w:r>
      <w:proofErr w:type="spellStart"/>
      <w:r w:rsidRPr="00BB357E">
        <w:rPr>
          <w:color w:val="000000"/>
          <w:sz w:val="28"/>
          <w:szCs w:val="28"/>
        </w:rPr>
        <w:t>розмірі</w:t>
      </w:r>
      <w:proofErr w:type="spellEnd"/>
      <w:r w:rsidRPr="00BB357E">
        <w:rPr>
          <w:color w:val="000000"/>
          <w:sz w:val="28"/>
          <w:szCs w:val="28"/>
        </w:rPr>
        <w:t xml:space="preserve"> 8,41% </w:t>
      </w:r>
      <w:proofErr w:type="spellStart"/>
      <w:r w:rsidRPr="00BB357E">
        <w:rPr>
          <w:color w:val="000000"/>
          <w:sz w:val="28"/>
          <w:szCs w:val="28"/>
        </w:rPr>
        <w:t>бази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нарахування</w:t>
      </w:r>
      <w:proofErr w:type="spellEnd"/>
      <w:r w:rsidRPr="00BB357E">
        <w:rPr>
          <w:color w:val="000000"/>
          <w:sz w:val="28"/>
          <w:szCs w:val="28"/>
        </w:rPr>
        <w:t xml:space="preserve"> ЄСВ для </w:t>
      </w:r>
      <w:proofErr w:type="spellStart"/>
      <w:r w:rsidRPr="00BB357E">
        <w:rPr>
          <w:color w:val="000000"/>
          <w:sz w:val="28"/>
          <w:szCs w:val="28"/>
        </w:rPr>
        <w:t>осіб</w:t>
      </w:r>
      <w:proofErr w:type="spellEnd"/>
      <w:r w:rsidRPr="00BB357E">
        <w:rPr>
          <w:color w:val="000000"/>
          <w:sz w:val="28"/>
          <w:szCs w:val="28"/>
        </w:rPr>
        <w:t xml:space="preserve"> з </w:t>
      </w:r>
      <w:proofErr w:type="spellStart"/>
      <w:r w:rsidRPr="00BB357E">
        <w:rPr>
          <w:color w:val="000000"/>
          <w:sz w:val="28"/>
          <w:szCs w:val="28"/>
        </w:rPr>
        <w:t>інвалідністю</w:t>
      </w:r>
      <w:proofErr w:type="spellEnd"/>
      <w:r w:rsidRPr="00BB357E">
        <w:rPr>
          <w:color w:val="000000"/>
          <w:sz w:val="28"/>
          <w:szCs w:val="28"/>
        </w:rPr>
        <w:t xml:space="preserve">, </w:t>
      </w:r>
      <w:proofErr w:type="spellStart"/>
      <w:r w:rsidRPr="00BB357E">
        <w:rPr>
          <w:color w:val="000000"/>
          <w:sz w:val="28"/>
          <w:szCs w:val="28"/>
        </w:rPr>
        <w:t>які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працюють</w:t>
      </w:r>
      <w:proofErr w:type="spellEnd"/>
      <w:r w:rsidRPr="00BB357E">
        <w:rPr>
          <w:color w:val="000000"/>
          <w:sz w:val="28"/>
          <w:szCs w:val="28"/>
        </w:rPr>
        <w:t xml:space="preserve"> (ч. 13 ст. 8 Закону </w:t>
      </w:r>
      <w:proofErr w:type="spellStart"/>
      <w:r w:rsidRPr="00BB357E">
        <w:rPr>
          <w:color w:val="000000"/>
          <w:sz w:val="28"/>
          <w:szCs w:val="28"/>
        </w:rPr>
        <w:t>України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від</w:t>
      </w:r>
      <w:proofErr w:type="spellEnd"/>
      <w:r w:rsidRPr="00BB357E">
        <w:rPr>
          <w:color w:val="000000"/>
          <w:sz w:val="28"/>
          <w:szCs w:val="28"/>
        </w:rPr>
        <w:t xml:space="preserve"> 08.07.2010 р. № 2464-VI “Про </w:t>
      </w:r>
      <w:proofErr w:type="spellStart"/>
      <w:r w:rsidRPr="00BB357E">
        <w:rPr>
          <w:color w:val="000000"/>
          <w:sz w:val="28"/>
          <w:szCs w:val="28"/>
        </w:rPr>
        <w:t>збір</w:t>
      </w:r>
      <w:proofErr w:type="spellEnd"/>
      <w:r w:rsidRPr="00BB357E">
        <w:rPr>
          <w:color w:val="000000"/>
          <w:sz w:val="28"/>
          <w:szCs w:val="28"/>
        </w:rPr>
        <w:t xml:space="preserve"> та </w:t>
      </w:r>
      <w:proofErr w:type="spellStart"/>
      <w:r w:rsidRPr="00BB357E">
        <w:rPr>
          <w:color w:val="000000"/>
          <w:sz w:val="28"/>
          <w:szCs w:val="28"/>
        </w:rPr>
        <w:t>облік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єдиного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внеску</w:t>
      </w:r>
      <w:proofErr w:type="spellEnd"/>
      <w:r w:rsidRPr="00BB357E">
        <w:rPr>
          <w:color w:val="000000"/>
          <w:sz w:val="28"/>
          <w:szCs w:val="28"/>
        </w:rPr>
        <w:t xml:space="preserve"> на </w:t>
      </w:r>
      <w:proofErr w:type="spellStart"/>
      <w:r w:rsidRPr="00BB357E">
        <w:rPr>
          <w:color w:val="000000"/>
          <w:sz w:val="28"/>
          <w:szCs w:val="28"/>
        </w:rPr>
        <w:t>загальнообов’язкове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державне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соціальне</w:t>
      </w:r>
      <w:proofErr w:type="spellEnd"/>
      <w:r w:rsidRPr="00BB357E">
        <w:rPr>
          <w:color w:val="000000"/>
          <w:sz w:val="28"/>
          <w:szCs w:val="28"/>
        </w:rPr>
        <w:t xml:space="preserve"> </w:t>
      </w:r>
      <w:proofErr w:type="spellStart"/>
      <w:r w:rsidRPr="00BB357E">
        <w:rPr>
          <w:color w:val="000000"/>
          <w:sz w:val="28"/>
          <w:szCs w:val="28"/>
        </w:rPr>
        <w:t>страхування</w:t>
      </w:r>
      <w:proofErr w:type="spellEnd"/>
      <w:r w:rsidRPr="00BB357E">
        <w:rPr>
          <w:color w:val="000000"/>
          <w:sz w:val="28"/>
          <w:szCs w:val="28"/>
        </w:rPr>
        <w:t>”).</w:t>
      </w:r>
    </w:p>
    <w:p w:rsidR="00224B32" w:rsidRDefault="00224B32">
      <w:pPr>
        <w:rPr>
          <w:rFonts w:ascii="Times New Roman" w:hAnsi="Times New Roman" w:cs="Times New Roman"/>
          <w:sz w:val="28"/>
          <w:szCs w:val="28"/>
        </w:rPr>
      </w:pP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Мінімальний</w:t>
      </w:r>
      <w:proofErr w:type="spellEnd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страховий</w:t>
      </w:r>
      <w:proofErr w:type="spellEnd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внесок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сума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добуток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нараховується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зарплата, і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сплачується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сума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добуток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і ставки ЄСВ.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сумісникам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винагороди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договорами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характеру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їхніх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вона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звільнених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відпрацювали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не проводиться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стосовно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пільгову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ЄСВ 8,41%,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пояснюється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до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ставки ЄСВ 22%.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зарплатою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меншою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провести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ЄСВ).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буде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зараховано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стажу.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Страховий</w:t>
      </w:r>
      <w:proofErr w:type="spellEnd"/>
      <w:r w:rsidRPr="00BB3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стаж</w:t>
      </w:r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підлягала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загальнообов'язковому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державному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втратою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витратами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зумовленими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сплачено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нею та/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роботодавцем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меншій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доплати до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страхового стажу</w:t>
      </w:r>
      <w:proofErr w:type="gram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зараховується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по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пологах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ставка ЄСВ 22%.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середньоденна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зарплата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перевищувати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один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" w:history="1">
        <w:proofErr w:type="spellStart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Розміри</w:t>
        </w:r>
        <w:proofErr w:type="spellEnd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мінімального</w:t>
        </w:r>
        <w:proofErr w:type="spellEnd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та максимального ЄСВ для </w:t>
        </w:r>
        <w:proofErr w:type="spellStart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підприємців</w:t>
        </w:r>
        <w:proofErr w:type="spellEnd"/>
        <w:r w:rsidRPr="00BB357E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2021 року</w:t>
        </w:r>
      </w:hyperlink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на один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день, треба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останньому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розділити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середньомісячну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(30,44).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(МЗП)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виду доходу,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стосуються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підприємців-роботодавців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9"/>
        <w:gridCol w:w="4296"/>
      </w:tblGrid>
      <w:tr w:rsidR="00BB357E" w:rsidRPr="00BB357E" w:rsidTr="00BB357E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ЄСВ з МЗП,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МЗП</w:t>
            </w: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Застосовується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застосовується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 доходу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вигляді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винагороди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прийнятий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дня та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звільнений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днем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прийнятий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дня та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звільнений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днем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працює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неповного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зовнішній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сумісник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працює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неповного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часу, ЄСВ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виконує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одного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працедавця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своєю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основною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додаткову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роботу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іншою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професією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посадою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оскільки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суміщення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винагорода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договорами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цивільно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-правового характеру)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отримує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винагороду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договором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цивільно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-правового характеру (базою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є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прибуток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B357E" w:rsidRPr="00BB357E" w:rsidTr="00BB357E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 доходу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вигляді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відпрацював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лікарняному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(сума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відпрацьований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і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лікарняного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не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перевищує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початок і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закінчення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припадають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різні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ЄСВ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початку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відпрацьований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оскільки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загальна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сума доходу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відома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(суму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буде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основним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лікарняному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якому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законом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нараховується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зарплата&lt;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розподілу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становить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 (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тимчасовій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належать до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вони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пологах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розподілу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місяцями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нараховано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якомусь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зв'язку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вагітністю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пологами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перехідний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 2019 на 2020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до того ж база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місцях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2020 року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менша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 (6 000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донарахувати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нового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МЗП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57E" w:rsidRPr="00BB357E" w:rsidTr="00BB357E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 доходу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вигляді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відпускних</w:t>
            </w:r>
            <w:proofErr w:type="spellEnd"/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частину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крім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АТО)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повний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відпустці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(база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нарахування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ЄСВ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відсутня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B357E" w:rsidRPr="00BB357E" w:rsidTr="00BB357E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щорічних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відпустках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чорнобильських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357E" w:rsidRPr="00BB357E" w:rsidRDefault="00BB357E" w:rsidP="00BB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працівникові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збереження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АТО у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відповідному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населеному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пункті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урахуванням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часу,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потрібного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повернення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але не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ухвалення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рішення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припинення</w:t>
            </w:r>
            <w:proofErr w:type="spellEnd"/>
            <w:r w:rsidRPr="00BB3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АТО</w:t>
            </w:r>
          </w:p>
        </w:tc>
      </w:tr>
    </w:tbl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ЄСВ,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нарахований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(як </w:t>
      </w:r>
      <w:proofErr w:type="gram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першу</w:t>
      </w:r>
      <w:proofErr w:type="gram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за другу половину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сплачувати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видаванням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Винятком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внесок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нарахований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уже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сплачений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результатами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звірення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органом ДФС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платником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переплату ЄСВ, сума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перераховуються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перерахуванням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оплату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безготівковій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натуральній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працедавець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зарплату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20-го числа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наступного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Статтею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 Закону № 2464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перерахуванням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ЄСВ. 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видадуть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перерахують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тоді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чеком (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платіжним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дорученням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буде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платіжне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доручення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перерахування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ЄСВ. До того ж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сплачуються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такими документами,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1/3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пред’являє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сума ЄСВ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менша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1/3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знімає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банки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видадуть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перерахують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тоді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платіжним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дорученням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оригінал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довідки-розрахунку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погодженої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ДФС.</w:t>
      </w:r>
    </w:p>
    <w:p w:rsidR="00BB357E" w:rsidRPr="00BB357E" w:rsidRDefault="00BB357E" w:rsidP="00BB3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Довідку-розрахунок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примірниках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органу</w:t>
      </w:r>
      <w:proofErr w:type="gram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ДФС за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місцем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Вона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невідкладному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погодженню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того ж один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примірник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ДФС,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банку</w:t>
      </w:r>
      <w:proofErr w:type="gram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третій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залишається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BB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357E" w:rsidRPr="00BB357E" w:rsidRDefault="00BB357E">
      <w:pPr>
        <w:rPr>
          <w:rFonts w:ascii="Times New Roman" w:hAnsi="Times New Roman" w:cs="Times New Roman"/>
          <w:sz w:val="28"/>
          <w:szCs w:val="28"/>
        </w:rPr>
      </w:pPr>
    </w:p>
    <w:sectPr w:rsidR="00BB357E" w:rsidRPr="00BB3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C1"/>
    <w:rsid w:val="00224B32"/>
    <w:rsid w:val="00B678C1"/>
    <w:rsid w:val="00BB357E"/>
    <w:rsid w:val="00C0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2962"/>
  <w15:chartTrackingRefBased/>
  <w15:docId w15:val="{B2F9F5AC-D853-4B5F-A085-98D676A5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3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57E"/>
    <w:rPr>
      <w:b/>
      <w:bCs/>
    </w:rPr>
  </w:style>
  <w:style w:type="character" w:styleId="a5">
    <w:name w:val="Hyperlink"/>
    <w:basedOn w:val="a0"/>
    <w:uiPriority w:val="99"/>
    <w:semiHidden/>
    <w:unhideWhenUsed/>
    <w:rsid w:val="00BB357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5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p.com.ua/ua/vazhno-znat/item/71351-rozmiri-minimalnogo-ta-maksimalnogo-esv-dlya-fop-2021-ro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3</cp:revision>
  <dcterms:created xsi:type="dcterms:W3CDTF">2022-01-31T12:46:00Z</dcterms:created>
  <dcterms:modified xsi:type="dcterms:W3CDTF">2022-01-31T12:54:00Z</dcterms:modified>
</cp:coreProperties>
</file>