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02A1" w:rsidRDefault="00E602A1" w:rsidP="00E602A1">
      <w:pPr>
        <w:rPr>
          <w:lang w:val="uk-UA"/>
        </w:rPr>
      </w:pPr>
    </w:p>
    <w:p w:rsidR="00E602A1" w:rsidRDefault="00E602A1" w:rsidP="00E602A1">
      <w:pPr>
        <w:spacing w:after="0" w:line="240" w:lineRule="auto"/>
        <w:jc w:val="center"/>
        <w:rPr>
          <w:rFonts w:ascii="Times New Roman" w:hAnsi="Times New Roman" w:cs="Times New Roman"/>
          <w:b/>
          <w:bCs/>
          <w:sz w:val="26"/>
          <w:szCs w:val="26"/>
          <w:lang w:val="uk-UA"/>
        </w:rPr>
      </w:pPr>
    </w:p>
    <w:p w:rsidR="00E602A1" w:rsidRDefault="00E602A1" w:rsidP="00E602A1">
      <w:pPr>
        <w:spacing w:after="0" w:line="240" w:lineRule="auto"/>
        <w:jc w:val="center"/>
        <w:rPr>
          <w:rFonts w:ascii="Times New Roman" w:hAnsi="Times New Roman" w:cs="Times New Roman"/>
          <w:b/>
          <w:bCs/>
          <w:sz w:val="26"/>
          <w:szCs w:val="26"/>
          <w:lang w:val="uk-UA"/>
        </w:rPr>
      </w:pPr>
    </w:p>
    <w:p w:rsidR="00E602A1" w:rsidRDefault="00E602A1" w:rsidP="00E602A1">
      <w:pPr>
        <w:spacing w:after="0" w:line="240" w:lineRule="auto"/>
        <w:jc w:val="center"/>
        <w:rPr>
          <w:rFonts w:ascii="Times New Roman" w:hAnsi="Times New Roman" w:cs="Times New Roman"/>
          <w:b/>
          <w:bCs/>
          <w:sz w:val="26"/>
          <w:szCs w:val="26"/>
          <w:lang w:val="uk-UA"/>
        </w:rPr>
      </w:pPr>
    </w:p>
    <w:p w:rsidR="00E602A1" w:rsidRPr="004F0683" w:rsidRDefault="00E602A1" w:rsidP="00E602A1">
      <w:pPr>
        <w:spacing w:after="0" w:line="240" w:lineRule="auto"/>
        <w:jc w:val="center"/>
        <w:rPr>
          <w:rFonts w:ascii="Times New Roman" w:hAnsi="Times New Roman" w:cs="Times New Roman"/>
          <w:sz w:val="26"/>
          <w:szCs w:val="26"/>
          <w:lang w:val="uk-UA"/>
        </w:rPr>
      </w:pPr>
      <w:r w:rsidRPr="004F0683">
        <w:rPr>
          <w:rFonts w:ascii="Times New Roman" w:hAnsi="Times New Roman" w:cs="Times New Roman"/>
          <w:b/>
          <w:bCs/>
          <w:sz w:val="26"/>
          <w:szCs w:val="26"/>
          <w:lang w:val="uk-UA"/>
        </w:rPr>
        <w:t>АНАЛІЗ РЕГУЛЯТОРНОГО ВПЛИВУ</w:t>
      </w:r>
      <w:r w:rsidRPr="004F0683">
        <w:rPr>
          <w:rFonts w:ascii="Times New Roman" w:hAnsi="Times New Roman" w:cs="Times New Roman"/>
          <w:b/>
          <w:bCs/>
          <w:sz w:val="26"/>
          <w:szCs w:val="26"/>
          <w:lang w:val="uk-UA"/>
        </w:rPr>
        <w:br/>
        <w:t>до проєкту рішення виконавчого комітету Сіверської міської ради</w:t>
      </w:r>
    </w:p>
    <w:p w:rsidR="00E602A1" w:rsidRPr="004F0683" w:rsidRDefault="00E602A1" w:rsidP="00E602A1">
      <w:pPr>
        <w:spacing w:after="0" w:line="240" w:lineRule="auto"/>
        <w:jc w:val="center"/>
        <w:rPr>
          <w:rFonts w:ascii="Times New Roman" w:hAnsi="Times New Roman" w:cs="Times New Roman"/>
          <w:sz w:val="26"/>
          <w:szCs w:val="26"/>
        </w:rPr>
      </w:pPr>
      <w:r w:rsidRPr="004F0683">
        <w:rPr>
          <w:rFonts w:ascii="Times New Roman" w:hAnsi="Times New Roman" w:cs="Times New Roman"/>
          <w:b/>
          <w:bCs/>
          <w:sz w:val="26"/>
          <w:szCs w:val="26"/>
        </w:rPr>
        <w:t xml:space="preserve">«Про затвердження </w:t>
      </w:r>
      <w:r w:rsidRPr="004F0683">
        <w:rPr>
          <w:rFonts w:ascii="Times New Roman" w:hAnsi="Times New Roman" w:cs="Times New Roman"/>
          <w:b/>
          <w:sz w:val="26"/>
          <w:szCs w:val="26"/>
          <w:lang w:val="uk-UA"/>
        </w:rPr>
        <w:t>Правил утримання домашніх тварин на території Сіверської міської територіальної громади</w:t>
      </w:r>
      <w:r w:rsidRPr="004F0683">
        <w:rPr>
          <w:rFonts w:ascii="Times New Roman" w:hAnsi="Times New Roman" w:cs="Times New Roman"/>
          <w:b/>
          <w:bCs/>
          <w:sz w:val="26"/>
          <w:szCs w:val="26"/>
        </w:rPr>
        <w:t>»</w:t>
      </w:r>
    </w:p>
    <w:p w:rsidR="00E602A1" w:rsidRPr="004F0683" w:rsidRDefault="00E602A1" w:rsidP="00E602A1">
      <w:pPr>
        <w:spacing w:after="0" w:line="240" w:lineRule="auto"/>
        <w:jc w:val="both"/>
        <w:rPr>
          <w:rFonts w:ascii="Times New Roman" w:hAnsi="Times New Roman" w:cs="Times New Roman"/>
          <w:b/>
          <w:bCs/>
          <w:sz w:val="26"/>
          <w:szCs w:val="26"/>
        </w:rPr>
      </w:pPr>
      <w:r w:rsidRPr="004F0683">
        <w:rPr>
          <w:rFonts w:ascii="Times New Roman" w:hAnsi="Times New Roman" w:cs="Times New Roman"/>
          <w:b/>
          <w:bCs/>
          <w:sz w:val="26"/>
          <w:szCs w:val="26"/>
        </w:rPr>
        <w:t> </w:t>
      </w:r>
    </w:p>
    <w:p w:rsidR="00E602A1"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Цей аналіз регулятор</w:t>
      </w:r>
      <w:r>
        <w:rPr>
          <w:rFonts w:ascii="Times New Roman" w:hAnsi="Times New Roman" w:cs="Times New Roman"/>
          <w:sz w:val="26"/>
          <w:szCs w:val="26"/>
        </w:rPr>
        <w:t>ного впливу до проєкту рішення в</w:t>
      </w:r>
      <w:r w:rsidRPr="004F0683">
        <w:rPr>
          <w:rFonts w:ascii="Times New Roman" w:hAnsi="Times New Roman" w:cs="Times New Roman"/>
          <w:sz w:val="26"/>
          <w:szCs w:val="26"/>
        </w:rPr>
        <w:t xml:space="preserve">иконавчого комітету </w:t>
      </w:r>
      <w:r w:rsidRPr="004F0683">
        <w:rPr>
          <w:rFonts w:ascii="Times New Roman" w:hAnsi="Times New Roman" w:cs="Times New Roman"/>
          <w:sz w:val="26"/>
          <w:szCs w:val="26"/>
          <w:lang w:val="uk-UA"/>
        </w:rPr>
        <w:t>Сіверсько</w:t>
      </w:r>
      <w:r w:rsidRPr="004F0683">
        <w:rPr>
          <w:rFonts w:ascii="Times New Roman" w:hAnsi="Times New Roman" w:cs="Times New Roman"/>
          <w:sz w:val="26"/>
          <w:szCs w:val="26"/>
        </w:rPr>
        <w:t xml:space="preserve">ї міської ради «Про </w:t>
      </w:r>
      <w:r w:rsidRPr="004F0683">
        <w:rPr>
          <w:rFonts w:ascii="Times New Roman" w:hAnsi="Times New Roman" w:cs="Times New Roman"/>
          <w:bCs/>
          <w:sz w:val="26"/>
          <w:szCs w:val="26"/>
        </w:rPr>
        <w:t xml:space="preserve">затвердження </w:t>
      </w:r>
      <w:r w:rsidRPr="004F0683">
        <w:rPr>
          <w:rFonts w:ascii="Times New Roman" w:hAnsi="Times New Roman" w:cs="Times New Roman"/>
          <w:sz w:val="26"/>
          <w:szCs w:val="26"/>
          <w:lang w:val="uk-UA"/>
        </w:rPr>
        <w:t>Правил утримання домашніх тварин на території Сіверської міської територіальної громади</w:t>
      </w:r>
      <w:r w:rsidRPr="004F0683">
        <w:rPr>
          <w:rFonts w:ascii="Times New Roman" w:hAnsi="Times New Roman" w:cs="Times New Roman"/>
          <w:sz w:val="26"/>
          <w:szCs w:val="26"/>
        </w:rPr>
        <w:t>»</w:t>
      </w:r>
      <w:r>
        <w:rPr>
          <w:rFonts w:ascii="Times New Roman" w:hAnsi="Times New Roman" w:cs="Times New Roman"/>
          <w:sz w:val="26"/>
          <w:szCs w:val="26"/>
          <w:lang w:val="uk-UA"/>
        </w:rPr>
        <w:t xml:space="preserve"> </w:t>
      </w:r>
      <w:r w:rsidRPr="004F0683">
        <w:rPr>
          <w:rFonts w:ascii="Times New Roman" w:hAnsi="Times New Roman" w:cs="Times New Roman"/>
          <w:sz w:val="26"/>
          <w:szCs w:val="26"/>
        </w:rPr>
        <w:t xml:space="preserve">розроблений на виконання та з дотриманням вимог Закону України «Про засади державної регуляторної політики у сфері господарської діяльності» та Методики проведення аналізу впливу регуляторного акту, затвердженої постановою Кабінету Міністрів України від 11.03.2004 р. № 308 «Про затвердження методик проведення аналізу впливу та відстеження результативності регуляторного акту» (зі змінами). </w:t>
      </w:r>
    </w:p>
    <w:p w:rsidR="00E602A1"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Назва регуляторного акту: проєкт рішення </w:t>
      </w:r>
      <w:r>
        <w:rPr>
          <w:rFonts w:ascii="Times New Roman" w:hAnsi="Times New Roman" w:cs="Times New Roman"/>
          <w:sz w:val="26"/>
          <w:szCs w:val="26"/>
          <w:lang w:val="uk-UA"/>
        </w:rPr>
        <w:t>в</w:t>
      </w:r>
      <w:r w:rsidRPr="004F0683">
        <w:rPr>
          <w:rFonts w:ascii="Times New Roman" w:hAnsi="Times New Roman" w:cs="Times New Roman"/>
          <w:sz w:val="26"/>
          <w:szCs w:val="26"/>
        </w:rPr>
        <w:t xml:space="preserve">иконавчого комітету </w:t>
      </w:r>
      <w:r w:rsidRPr="004F0683">
        <w:rPr>
          <w:rFonts w:ascii="Times New Roman" w:hAnsi="Times New Roman" w:cs="Times New Roman"/>
          <w:sz w:val="26"/>
          <w:szCs w:val="26"/>
          <w:lang w:val="uk-UA"/>
        </w:rPr>
        <w:t>Сіверсько</w:t>
      </w:r>
      <w:r w:rsidRPr="004F0683">
        <w:rPr>
          <w:rFonts w:ascii="Times New Roman" w:hAnsi="Times New Roman" w:cs="Times New Roman"/>
          <w:sz w:val="26"/>
          <w:szCs w:val="26"/>
        </w:rPr>
        <w:t xml:space="preserve">ї міської ради «Про </w:t>
      </w:r>
      <w:r w:rsidRPr="004F0683">
        <w:rPr>
          <w:rFonts w:ascii="Times New Roman" w:hAnsi="Times New Roman" w:cs="Times New Roman"/>
          <w:bCs/>
          <w:sz w:val="26"/>
          <w:szCs w:val="26"/>
        </w:rPr>
        <w:t xml:space="preserve">затвердження </w:t>
      </w:r>
      <w:r w:rsidRPr="004F0683">
        <w:rPr>
          <w:rFonts w:ascii="Times New Roman" w:hAnsi="Times New Roman" w:cs="Times New Roman"/>
          <w:sz w:val="26"/>
          <w:szCs w:val="26"/>
          <w:lang w:val="uk-UA"/>
        </w:rPr>
        <w:t>Правил утримання домашніх тварин на території Сіверської міської територіальної громади</w:t>
      </w:r>
      <w:r w:rsidRPr="004F0683">
        <w:rPr>
          <w:rFonts w:ascii="Times New Roman" w:hAnsi="Times New Roman" w:cs="Times New Roman"/>
          <w:sz w:val="26"/>
          <w:szCs w:val="26"/>
        </w:rPr>
        <w:t xml:space="preserve">». </w:t>
      </w:r>
    </w:p>
    <w:p w:rsidR="00E602A1"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Регуляторний орган: виконавчий комітет </w:t>
      </w:r>
      <w:r w:rsidRPr="004F0683">
        <w:rPr>
          <w:rFonts w:ascii="Times New Roman" w:hAnsi="Times New Roman" w:cs="Times New Roman"/>
          <w:sz w:val="26"/>
          <w:szCs w:val="26"/>
          <w:lang w:val="uk-UA"/>
        </w:rPr>
        <w:t>Сіверськ</w:t>
      </w:r>
      <w:r w:rsidRPr="004F0683">
        <w:rPr>
          <w:rFonts w:ascii="Times New Roman" w:hAnsi="Times New Roman" w:cs="Times New Roman"/>
          <w:sz w:val="26"/>
          <w:szCs w:val="26"/>
        </w:rPr>
        <w:t xml:space="preserve">ої міської ради. </w:t>
      </w:r>
    </w:p>
    <w:p w:rsidR="00E602A1"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Розробники документа: </w:t>
      </w:r>
      <w:r w:rsidRPr="004F0683">
        <w:rPr>
          <w:rFonts w:ascii="Times New Roman" w:hAnsi="Times New Roman" w:cs="Times New Roman"/>
          <w:sz w:val="26"/>
          <w:szCs w:val="26"/>
          <w:lang w:val="uk-UA"/>
        </w:rPr>
        <w:t>відділ житлово-комунального господарства, благоустрою та розвитку інфраструктури виконкому</w:t>
      </w:r>
      <w:r w:rsidRPr="004F0683">
        <w:rPr>
          <w:rFonts w:ascii="Times New Roman" w:hAnsi="Times New Roman" w:cs="Times New Roman"/>
          <w:sz w:val="26"/>
          <w:szCs w:val="26"/>
        </w:rPr>
        <w:t xml:space="preserve"> міської ради. </w:t>
      </w:r>
    </w:p>
    <w:p w:rsidR="00E602A1" w:rsidRPr="004F0683" w:rsidRDefault="00E602A1" w:rsidP="00E602A1">
      <w:pPr>
        <w:spacing w:after="0" w:line="240" w:lineRule="auto"/>
        <w:jc w:val="both"/>
        <w:rPr>
          <w:rFonts w:ascii="Times New Roman" w:hAnsi="Times New Roman" w:cs="Times New Roman"/>
          <w:sz w:val="26"/>
          <w:szCs w:val="26"/>
          <w:lang w:val="uk-UA"/>
        </w:rPr>
      </w:pPr>
      <w:r w:rsidRPr="004F0683">
        <w:rPr>
          <w:rFonts w:ascii="Times New Roman" w:hAnsi="Times New Roman" w:cs="Times New Roman"/>
          <w:sz w:val="26"/>
          <w:szCs w:val="26"/>
        </w:rPr>
        <w:t xml:space="preserve">Відповідальна особа: </w:t>
      </w:r>
      <w:r w:rsidRPr="004F0683">
        <w:rPr>
          <w:rFonts w:ascii="Times New Roman" w:hAnsi="Times New Roman" w:cs="Times New Roman"/>
          <w:sz w:val="26"/>
          <w:szCs w:val="26"/>
          <w:lang w:val="uk-UA"/>
        </w:rPr>
        <w:t>Вороніна Н.В</w:t>
      </w:r>
      <w:r w:rsidRPr="004F0683">
        <w:rPr>
          <w:rFonts w:ascii="Times New Roman" w:hAnsi="Times New Roman" w:cs="Times New Roman"/>
          <w:sz w:val="26"/>
          <w:szCs w:val="26"/>
        </w:rPr>
        <w:t xml:space="preserve">. Контактний телефон: </w:t>
      </w:r>
      <w:r w:rsidRPr="004F0683">
        <w:rPr>
          <w:rFonts w:ascii="Times New Roman" w:hAnsi="Times New Roman" w:cs="Times New Roman"/>
          <w:sz w:val="26"/>
          <w:szCs w:val="26"/>
          <w:lang w:val="uk-UA"/>
        </w:rPr>
        <w:t>06(274)5-31-48</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jc w:val="center"/>
        <w:rPr>
          <w:rFonts w:ascii="Times New Roman" w:hAnsi="Times New Roman" w:cs="Times New Roman"/>
          <w:sz w:val="26"/>
          <w:szCs w:val="26"/>
        </w:rPr>
      </w:pPr>
      <w:r w:rsidRPr="004F0683">
        <w:rPr>
          <w:rFonts w:ascii="Times New Roman" w:hAnsi="Times New Roman" w:cs="Times New Roman"/>
          <w:b/>
          <w:bCs/>
          <w:sz w:val="26"/>
          <w:szCs w:val="26"/>
        </w:rPr>
        <w:t>І. Визначення проблеми</w:t>
      </w:r>
    </w:p>
    <w:p w:rsidR="00E602A1" w:rsidRPr="004F0683" w:rsidRDefault="00E602A1" w:rsidP="00E602A1">
      <w:pPr>
        <w:spacing w:after="0" w:line="240" w:lineRule="auto"/>
        <w:jc w:val="both"/>
        <w:rPr>
          <w:rFonts w:ascii="Times New Roman" w:hAnsi="Times New Roman" w:cs="Times New Roman"/>
          <w:b/>
          <w:bCs/>
          <w:sz w:val="26"/>
          <w:szCs w:val="26"/>
        </w:rPr>
      </w:pP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bCs/>
          <w:sz w:val="26"/>
          <w:szCs w:val="26"/>
        </w:rPr>
        <w:t xml:space="preserve">Необхідність та важливість розгляду питання затвердження Правил утримання домашніх тварин </w:t>
      </w:r>
      <w:r>
        <w:rPr>
          <w:rFonts w:ascii="Times New Roman" w:hAnsi="Times New Roman" w:cs="Times New Roman"/>
          <w:bCs/>
          <w:sz w:val="26"/>
          <w:szCs w:val="26"/>
          <w:lang w:val="uk-UA"/>
        </w:rPr>
        <w:t>на території Сіверської</w:t>
      </w:r>
      <w:r w:rsidRPr="004F0683">
        <w:rPr>
          <w:rFonts w:ascii="Times New Roman" w:hAnsi="Times New Roman" w:cs="Times New Roman"/>
          <w:bCs/>
          <w:sz w:val="26"/>
          <w:szCs w:val="26"/>
          <w:lang w:val="uk-UA"/>
        </w:rPr>
        <w:t xml:space="preserve"> міської ради </w:t>
      </w:r>
      <w:r w:rsidRPr="004F0683">
        <w:rPr>
          <w:rFonts w:ascii="Times New Roman" w:hAnsi="Times New Roman" w:cs="Times New Roman"/>
          <w:bCs/>
          <w:sz w:val="26"/>
          <w:szCs w:val="26"/>
        </w:rPr>
        <w:t>обумовлена </w:t>
      </w:r>
      <w:r w:rsidRPr="004F0683">
        <w:rPr>
          <w:rFonts w:ascii="Times New Roman" w:hAnsi="Times New Roman" w:cs="Times New Roman"/>
          <w:sz w:val="26"/>
          <w:szCs w:val="26"/>
        </w:rPr>
        <w:t xml:space="preserve">перебуванням великої кількості безпритульних тварин на території </w:t>
      </w:r>
      <w:r w:rsidRPr="004F0683">
        <w:rPr>
          <w:rFonts w:ascii="Times New Roman" w:hAnsi="Times New Roman" w:cs="Times New Roman"/>
          <w:sz w:val="26"/>
          <w:szCs w:val="26"/>
          <w:lang w:val="uk-UA"/>
        </w:rPr>
        <w:t xml:space="preserve">населених пунктів </w:t>
      </w:r>
      <w:r>
        <w:rPr>
          <w:rFonts w:ascii="Times New Roman" w:hAnsi="Times New Roman" w:cs="Times New Roman"/>
          <w:sz w:val="26"/>
          <w:szCs w:val="26"/>
          <w:lang w:val="uk-UA"/>
        </w:rPr>
        <w:t>Сіверсько</w:t>
      </w:r>
      <w:r w:rsidRPr="004F0683">
        <w:rPr>
          <w:rFonts w:ascii="Times New Roman" w:hAnsi="Times New Roman" w:cs="Times New Roman"/>
          <w:sz w:val="26"/>
          <w:szCs w:val="26"/>
        </w:rPr>
        <w:t xml:space="preserve">ї міської ради, що у свою чергу призводить до погіршення її санітарно-епідеміологічного та екологічного стану, якості життя мешканців і гостей </w:t>
      </w:r>
      <w:r w:rsidRPr="004F0683">
        <w:rPr>
          <w:rFonts w:ascii="Times New Roman" w:hAnsi="Times New Roman" w:cs="Times New Roman"/>
          <w:sz w:val="26"/>
          <w:szCs w:val="26"/>
          <w:lang w:val="uk-UA"/>
        </w:rPr>
        <w:t>громади</w:t>
      </w:r>
      <w:r w:rsidRPr="004F0683">
        <w:rPr>
          <w:rFonts w:ascii="Times New Roman" w:hAnsi="Times New Roman" w:cs="Times New Roman"/>
          <w:sz w:val="26"/>
          <w:szCs w:val="26"/>
        </w:rPr>
        <w:t>, загибелі тварин та жорстокого поводження з ними.</w:t>
      </w: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 xml:space="preserve">Чинним законодавством України передбачене гуманне ставлення до безпритульних і домашніх тварин та запобігання жорстокому поводженню з ними. Крім того, мешканці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w:t>
      </w:r>
      <w:r>
        <w:rPr>
          <w:rFonts w:ascii="Times New Roman" w:hAnsi="Times New Roman" w:cs="Times New Roman"/>
          <w:sz w:val="26"/>
          <w:szCs w:val="26"/>
          <w:lang w:val="uk-UA"/>
        </w:rPr>
        <w:t>територіальної громади</w:t>
      </w:r>
      <w:r w:rsidRPr="004F0683">
        <w:rPr>
          <w:rFonts w:ascii="Times New Roman" w:hAnsi="Times New Roman" w:cs="Times New Roman"/>
          <w:sz w:val="26"/>
          <w:szCs w:val="26"/>
        </w:rPr>
        <w:t xml:space="preserve"> мають беззаперечне право не спостерігати за стражданнями, загибеллю тварин внаслідок жорстокого поводження з ними. Отже, обов’язком міської ради є піклування про безпеку життя і здоров’я мешканців </w:t>
      </w:r>
      <w:r>
        <w:rPr>
          <w:rFonts w:ascii="Times New Roman" w:hAnsi="Times New Roman" w:cs="Times New Roman"/>
          <w:sz w:val="26"/>
          <w:szCs w:val="26"/>
          <w:lang w:val="uk-UA"/>
        </w:rPr>
        <w:t>Сіверсько</w:t>
      </w:r>
      <w:r w:rsidRPr="004F0683">
        <w:rPr>
          <w:rFonts w:ascii="Times New Roman" w:hAnsi="Times New Roman" w:cs="Times New Roman"/>
          <w:sz w:val="26"/>
          <w:szCs w:val="26"/>
          <w:lang w:val="uk-UA"/>
        </w:rPr>
        <w:t>ї міської ради</w:t>
      </w:r>
      <w:r w:rsidRPr="004F0683">
        <w:rPr>
          <w:rFonts w:ascii="Times New Roman" w:hAnsi="Times New Roman" w:cs="Times New Roman"/>
          <w:sz w:val="26"/>
          <w:szCs w:val="26"/>
        </w:rPr>
        <w:t xml:space="preserve"> з одночасним запобіганням знищенню та іншому жорстокому поводженню з безпритульними та домашніми тваринами.</w:t>
      </w:r>
    </w:p>
    <w:p w:rsidR="00E602A1" w:rsidRPr="004F0683" w:rsidRDefault="00E602A1" w:rsidP="00E602A1">
      <w:pPr>
        <w:spacing w:after="0" w:line="24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Діяльність міської ради </w:t>
      </w:r>
      <w:r w:rsidRPr="004F0683">
        <w:rPr>
          <w:rFonts w:ascii="Times New Roman" w:hAnsi="Times New Roman" w:cs="Times New Roman"/>
          <w:sz w:val="26"/>
          <w:szCs w:val="26"/>
        </w:rPr>
        <w:t>спрямована на цивілізоване вирішення зазначених проблем шляхом зменшення чисельності безпритульних тварин гуманними методами, а також донесення до суспільної свідомості населення стандартів гуманного поводження з тваринами.</w:t>
      </w:r>
      <w:r w:rsidRPr="004F0683">
        <w:rPr>
          <w:rFonts w:ascii="Times New Roman" w:hAnsi="Times New Roman" w:cs="Times New Roman"/>
          <w:sz w:val="26"/>
          <w:szCs w:val="26"/>
          <w:lang w:val="uk-UA"/>
        </w:rPr>
        <w:t xml:space="preserve"> </w:t>
      </w:r>
    </w:p>
    <w:p w:rsidR="00E602A1" w:rsidRPr="004F0683" w:rsidRDefault="00E602A1" w:rsidP="00E602A1">
      <w:pPr>
        <w:spacing w:after="0" w:line="240" w:lineRule="auto"/>
        <w:ind w:firstLine="567"/>
        <w:jc w:val="both"/>
        <w:rPr>
          <w:rFonts w:ascii="Times New Roman" w:hAnsi="Times New Roman" w:cs="Times New Roman"/>
          <w:sz w:val="26"/>
          <w:szCs w:val="26"/>
          <w:lang w:val="uk-UA"/>
        </w:rPr>
      </w:pPr>
      <w:r w:rsidRPr="004F0683">
        <w:rPr>
          <w:rFonts w:ascii="Times New Roman" w:hAnsi="Times New Roman" w:cs="Times New Roman"/>
          <w:sz w:val="26"/>
          <w:szCs w:val="26"/>
          <w:lang w:val="uk-UA"/>
        </w:rPr>
        <w:t>Оскільки популяція безпритульних тварин поповнюється</w:t>
      </w:r>
      <w:r>
        <w:rPr>
          <w:rFonts w:ascii="Times New Roman" w:hAnsi="Times New Roman" w:cs="Times New Roman"/>
          <w:sz w:val="26"/>
          <w:szCs w:val="26"/>
          <w:lang w:val="uk-UA"/>
        </w:rPr>
        <w:t>,</w:t>
      </w:r>
      <w:r w:rsidRPr="004F0683">
        <w:rPr>
          <w:rFonts w:ascii="Times New Roman" w:hAnsi="Times New Roman" w:cs="Times New Roman"/>
          <w:sz w:val="26"/>
          <w:szCs w:val="26"/>
          <w:lang w:val="uk-UA"/>
        </w:rPr>
        <w:t xml:space="preserve"> в тому числі і за рахунок тварин, які мали власника, але були загублені, викинуті на вулицю, покинуті в місцях несанкціонованого продажу тощо, а однією з основних причин появи безпритульних тварин на вулицях є низький рівень культури населення щодо поводження з домашніми тваринами, особливо це стосується поводження з небажаним потомством домашніх тварин та запобігання появі такого потомства, виховання гуманного і відповідального ставлення до домашніх тварин та визначення відносин органів місцевої влади, юридичних і фізичних осіб в цій сфері, їх прав і </w:t>
      </w:r>
      <w:r w:rsidRPr="004F0683">
        <w:rPr>
          <w:rFonts w:ascii="Times New Roman" w:hAnsi="Times New Roman" w:cs="Times New Roman"/>
          <w:sz w:val="26"/>
          <w:szCs w:val="26"/>
          <w:lang w:val="uk-UA"/>
        </w:rPr>
        <w:lastRenderedPageBreak/>
        <w:t>обов’язків щодо домашніх тварин, як найважливішого способу регулювання чисельності безпритульних тварин на вулицях, є багатопрофільною проблемою, що потребує вирішення шляхом</w:t>
      </w:r>
      <w:r w:rsidRPr="004F0683">
        <w:rPr>
          <w:rFonts w:ascii="Times New Roman" w:hAnsi="Times New Roman" w:cs="Times New Roman"/>
          <w:sz w:val="26"/>
          <w:szCs w:val="26"/>
        </w:rPr>
        <w:t> </w:t>
      </w:r>
      <w:r w:rsidRPr="004F0683">
        <w:rPr>
          <w:rFonts w:ascii="Times New Roman" w:hAnsi="Times New Roman" w:cs="Times New Roman"/>
          <w:bCs/>
          <w:sz w:val="26"/>
          <w:szCs w:val="26"/>
          <w:lang w:val="uk-UA"/>
        </w:rPr>
        <w:t>прийняття зазначеного регуляторного акту</w:t>
      </w:r>
      <w:r w:rsidRPr="004F0683">
        <w:rPr>
          <w:rFonts w:ascii="Times New Roman" w:hAnsi="Times New Roman" w:cs="Times New Roman"/>
          <w:b/>
          <w:bCs/>
          <w:sz w:val="26"/>
          <w:szCs w:val="26"/>
          <w:lang w:val="uk-UA"/>
        </w:rPr>
        <w:t>.</w:t>
      </w:r>
    </w:p>
    <w:p w:rsidR="00E602A1" w:rsidRDefault="00E602A1" w:rsidP="00E602A1">
      <w:pPr>
        <w:spacing w:after="0" w:line="240" w:lineRule="auto"/>
        <w:ind w:firstLine="567"/>
        <w:jc w:val="both"/>
        <w:rPr>
          <w:rFonts w:ascii="Times New Roman" w:hAnsi="Times New Roman" w:cs="Times New Roman"/>
          <w:sz w:val="26"/>
          <w:szCs w:val="26"/>
          <w:lang w:val="uk-UA"/>
        </w:rPr>
      </w:pPr>
      <w:r w:rsidRPr="004F0683">
        <w:rPr>
          <w:rFonts w:ascii="Times New Roman" w:hAnsi="Times New Roman" w:cs="Times New Roman"/>
          <w:bCs/>
          <w:sz w:val="26"/>
          <w:szCs w:val="26"/>
          <w:lang w:val="uk-UA"/>
        </w:rPr>
        <w:t>Зазначена проблема стосується громадян, суб’єктів господарювання та державних органів управління – і з точки зору людяного ставлення мешканців до тварин, і з точки зору співіснування людей та тварин на одній території, і з точки зору впливу</w:t>
      </w:r>
      <w:r w:rsidRPr="004F0683">
        <w:rPr>
          <w:rFonts w:ascii="Times New Roman" w:hAnsi="Times New Roman" w:cs="Times New Roman"/>
          <w:sz w:val="26"/>
          <w:szCs w:val="26"/>
          <w:lang w:val="uk-UA"/>
        </w:rPr>
        <w:t xml:space="preserve"> санітарно-епідеміологічного та екологічного стану на умови життя та господарської діяльності фізичних і юридичних осіб, і з точки зору залучення відповідних виконавчих органів міської ради, служб, установ, комунальних підприємств та громадських організацій до вирішення даної проблеми. Вирішення зазначеної проблеми можливе шляхом прийняття Правил утримання домашніх тварин на території </w:t>
      </w:r>
      <w:r>
        <w:rPr>
          <w:rFonts w:ascii="Times New Roman" w:hAnsi="Times New Roman" w:cs="Times New Roman"/>
          <w:sz w:val="26"/>
          <w:szCs w:val="26"/>
          <w:lang w:val="uk-UA"/>
        </w:rPr>
        <w:t xml:space="preserve">Сіверської </w:t>
      </w:r>
      <w:r w:rsidRPr="004F0683">
        <w:rPr>
          <w:rFonts w:ascii="Times New Roman" w:hAnsi="Times New Roman" w:cs="Times New Roman"/>
          <w:sz w:val="26"/>
          <w:szCs w:val="26"/>
          <w:lang w:val="uk-UA"/>
        </w:rPr>
        <w:t>міської</w:t>
      </w:r>
      <w:r>
        <w:rPr>
          <w:rFonts w:ascii="Times New Roman" w:hAnsi="Times New Roman" w:cs="Times New Roman"/>
          <w:sz w:val="26"/>
          <w:szCs w:val="26"/>
          <w:lang w:val="uk-UA"/>
        </w:rPr>
        <w:t xml:space="preserve"> територіальної громади</w:t>
      </w:r>
      <w:r w:rsidRPr="004F0683">
        <w:rPr>
          <w:rFonts w:ascii="Times New Roman" w:hAnsi="Times New Roman" w:cs="Times New Roman"/>
          <w:sz w:val="26"/>
          <w:szCs w:val="26"/>
          <w:lang w:val="uk-UA"/>
        </w:rPr>
        <w:t>.</w:t>
      </w:r>
    </w:p>
    <w:p w:rsidR="00E602A1" w:rsidRPr="008B1EA7" w:rsidRDefault="00E602A1" w:rsidP="00E602A1">
      <w:pPr>
        <w:pStyle w:val="HTML"/>
        <w:shd w:val="clear" w:color="auto" w:fill="FFFFFF"/>
        <w:ind w:left="360"/>
        <w:jc w:val="both"/>
        <w:rPr>
          <w:rFonts w:ascii="Times New Roman" w:hAnsi="Times New Roman" w:cs="Times New Roman"/>
          <w:sz w:val="26"/>
          <w:szCs w:val="26"/>
          <w:lang w:val="uk-UA"/>
        </w:rPr>
      </w:pPr>
      <w:r w:rsidRPr="008B1EA7">
        <w:rPr>
          <w:rFonts w:ascii="Times New Roman" w:hAnsi="Times New Roman" w:cs="Times New Roman"/>
          <w:sz w:val="26"/>
          <w:szCs w:val="26"/>
          <w:lang w:val="uk-UA"/>
        </w:rPr>
        <w:tab/>
      </w:r>
    </w:p>
    <w:p w:rsidR="00E602A1" w:rsidRPr="00100419" w:rsidRDefault="00E602A1" w:rsidP="00E602A1">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sz w:val="26"/>
          <w:szCs w:val="26"/>
          <w:lang w:val="uk-UA"/>
        </w:rPr>
        <w:t>Основні групи (підгрупи), на які проблема справляє вплив:</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03"/>
        <w:gridCol w:w="2409"/>
        <w:gridCol w:w="2552"/>
      </w:tblGrid>
      <w:tr w:rsidR="00E602A1" w:rsidRPr="00100419" w:rsidTr="00FE68B7">
        <w:tc>
          <w:tcPr>
            <w:tcW w:w="4503" w:type="dxa"/>
          </w:tcPr>
          <w:p w:rsidR="00E602A1" w:rsidRPr="00100419" w:rsidRDefault="00E602A1" w:rsidP="00FE68B7">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b/>
                <w:color w:val="000000"/>
                <w:sz w:val="26"/>
                <w:szCs w:val="26"/>
                <w:lang w:val="uk-UA"/>
              </w:rPr>
              <w:t>Групи (підгрупи)</w:t>
            </w:r>
          </w:p>
        </w:tc>
        <w:tc>
          <w:tcPr>
            <w:tcW w:w="2409" w:type="dxa"/>
          </w:tcPr>
          <w:p w:rsidR="00E602A1" w:rsidRPr="00100419" w:rsidRDefault="00E602A1" w:rsidP="00FE68B7">
            <w:pPr>
              <w:spacing w:after="0" w:line="240" w:lineRule="auto"/>
              <w:jc w:val="center"/>
              <w:rPr>
                <w:rFonts w:ascii="Times New Roman" w:hAnsi="Times New Roman" w:cs="Times New Roman"/>
                <w:sz w:val="26"/>
                <w:szCs w:val="26"/>
                <w:lang w:val="uk-UA"/>
              </w:rPr>
            </w:pPr>
            <w:r w:rsidRPr="00100419">
              <w:rPr>
                <w:rFonts w:ascii="Times New Roman" w:hAnsi="Times New Roman" w:cs="Times New Roman"/>
                <w:b/>
                <w:color w:val="000000"/>
                <w:sz w:val="26"/>
                <w:szCs w:val="26"/>
                <w:lang w:val="uk-UA"/>
              </w:rPr>
              <w:t>Так</w:t>
            </w:r>
          </w:p>
        </w:tc>
        <w:tc>
          <w:tcPr>
            <w:tcW w:w="2552" w:type="dxa"/>
          </w:tcPr>
          <w:p w:rsidR="00E602A1" w:rsidRPr="00100419" w:rsidRDefault="00E602A1" w:rsidP="00FE68B7">
            <w:pPr>
              <w:spacing w:after="0" w:line="240" w:lineRule="auto"/>
              <w:jc w:val="center"/>
              <w:rPr>
                <w:rFonts w:ascii="Times New Roman" w:hAnsi="Times New Roman" w:cs="Times New Roman"/>
                <w:sz w:val="26"/>
                <w:szCs w:val="26"/>
                <w:lang w:val="uk-UA"/>
              </w:rPr>
            </w:pPr>
            <w:r w:rsidRPr="00100419">
              <w:rPr>
                <w:rFonts w:ascii="Times New Roman" w:hAnsi="Times New Roman" w:cs="Times New Roman"/>
                <w:b/>
                <w:color w:val="000000"/>
                <w:sz w:val="26"/>
                <w:szCs w:val="26"/>
                <w:lang w:val="uk-UA"/>
              </w:rPr>
              <w:t>Ні</w:t>
            </w:r>
          </w:p>
        </w:tc>
      </w:tr>
      <w:tr w:rsidR="00E602A1" w:rsidRPr="00100419" w:rsidTr="00FE68B7">
        <w:tc>
          <w:tcPr>
            <w:tcW w:w="4503" w:type="dxa"/>
          </w:tcPr>
          <w:p w:rsidR="00E602A1" w:rsidRPr="00100419" w:rsidRDefault="00E602A1" w:rsidP="00FE68B7">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color w:val="000000"/>
                <w:sz w:val="26"/>
                <w:szCs w:val="26"/>
                <w:lang w:val="uk-UA"/>
              </w:rPr>
              <w:t>Громадяни</w:t>
            </w:r>
          </w:p>
        </w:tc>
        <w:tc>
          <w:tcPr>
            <w:tcW w:w="2409" w:type="dxa"/>
          </w:tcPr>
          <w:p w:rsidR="00E602A1" w:rsidRPr="00100419" w:rsidRDefault="00E602A1" w:rsidP="00FE68B7">
            <w:pPr>
              <w:spacing w:after="0" w:line="240" w:lineRule="auto"/>
              <w:jc w:val="center"/>
              <w:rPr>
                <w:rFonts w:ascii="Times New Roman" w:hAnsi="Times New Roman" w:cs="Times New Roman"/>
                <w:sz w:val="26"/>
                <w:szCs w:val="26"/>
                <w:lang w:val="uk-UA"/>
              </w:rPr>
            </w:pPr>
            <w:r w:rsidRPr="00100419">
              <w:rPr>
                <w:rFonts w:ascii="Times New Roman" w:hAnsi="Times New Roman" w:cs="Times New Roman"/>
                <w:sz w:val="26"/>
                <w:szCs w:val="26"/>
                <w:lang w:val="uk-UA"/>
              </w:rPr>
              <w:t xml:space="preserve">Так </w:t>
            </w:r>
          </w:p>
        </w:tc>
        <w:tc>
          <w:tcPr>
            <w:tcW w:w="2552" w:type="dxa"/>
          </w:tcPr>
          <w:p w:rsidR="00E602A1" w:rsidRPr="00100419" w:rsidRDefault="00E602A1" w:rsidP="00FE68B7">
            <w:pPr>
              <w:spacing w:after="0" w:line="240" w:lineRule="auto"/>
              <w:jc w:val="center"/>
              <w:rPr>
                <w:rFonts w:ascii="Times New Roman" w:hAnsi="Times New Roman" w:cs="Times New Roman"/>
                <w:sz w:val="26"/>
                <w:szCs w:val="26"/>
                <w:lang w:val="uk-UA"/>
              </w:rPr>
            </w:pPr>
          </w:p>
        </w:tc>
      </w:tr>
      <w:tr w:rsidR="00E602A1" w:rsidRPr="00100419" w:rsidTr="00FE68B7">
        <w:tc>
          <w:tcPr>
            <w:tcW w:w="4503" w:type="dxa"/>
          </w:tcPr>
          <w:p w:rsidR="00E602A1" w:rsidRPr="00100419" w:rsidRDefault="00E602A1" w:rsidP="00FE68B7">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color w:val="000000"/>
                <w:sz w:val="26"/>
                <w:szCs w:val="26"/>
                <w:lang w:val="uk-UA"/>
              </w:rPr>
              <w:t>Держава (територіальна громада)</w:t>
            </w:r>
          </w:p>
        </w:tc>
        <w:tc>
          <w:tcPr>
            <w:tcW w:w="2409" w:type="dxa"/>
            <w:vAlign w:val="center"/>
          </w:tcPr>
          <w:p w:rsidR="00E602A1" w:rsidRPr="00100419" w:rsidRDefault="00E602A1" w:rsidP="00FE68B7">
            <w:pPr>
              <w:pStyle w:val="p1"/>
              <w:spacing w:before="0" w:beforeAutospacing="0" w:after="0" w:afterAutospacing="0"/>
              <w:jc w:val="center"/>
              <w:rPr>
                <w:color w:val="000000"/>
                <w:sz w:val="26"/>
                <w:szCs w:val="26"/>
                <w:lang w:val="uk-UA"/>
              </w:rPr>
            </w:pPr>
            <w:r w:rsidRPr="00100419">
              <w:rPr>
                <w:color w:val="000000"/>
                <w:sz w:val="26"/>
                <w:szCs w:val="26"/>
                <w:lang w:val="uk-UA"/>
              </w:rPr>
              <w:t>Так</w:t>
            </w:r>
          </w:p>
        </w:tc>
        <w:tc>
          <w:tcPr>
            <w:tcW w:w="2552" w:type="dxa"/>
            <w:vAlign w:val="center"/>
          </w:tcPr>
          <w:p w:rsidR="00E602A1" w:rsidRPr="00100419" w:rsidRDefault="00E602A1" w:rsidP="00FE68B7">
            <w:pPr>
              <w:pStyle w:val="p5"/>
              <w:spacing w:before="0" w:beforeAutospacing="0" w:after="0" w:afterAutospacing="0"/>
              <w:jc w:val="center"/>
              <w:rPr>
                <w:color w:val="000000"/>
                <w:sz w:val="26"/>
                <w:szCs w:val="26"/>
                <w:lang w:val="uk-UA"/>
              </w:rPr>
            </w:pPr>
          </w:p>
        </w:tc>
      </w:tr>
      <w:tr w:rsidR="00E602A1" w:rsidRPr="00100419" w:rsidTr="00FE68B7">
        <w:tc>
          <w:tcPr>
            <w:tcW w:w="4503" w:type="dxa"/>
          </w:tcPr>
          <w:p w:rsidR="00E602A1" w:rsidRPr="00100419" w:rsidRDefault="00E602A1" w:rsidP="00FE68B7">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color w:val="000000"/>
                <w:sz w:val="26"/>
                <w:szCs w:val="26"/>
                <w:lang w:val="uk-UA"/>
              </w:rPr>
              <w:t>Суб’єктами господарювання</w:t>
            </w:r>
          </w:p>
        </w:tc>
        <w:tc>
          <w:tcPr>
            <w:tcW w:w="2409" w:type="dxa"/>
            <w:vAlign w:val="center"/>
          </w:tcPr>
          <w:p w:rsidR="00E602A1" w:rsidRPr="00100419" w:rsidRDefault="00E602A1" w:rsidP="00FE68B7">
            <w:pPr>
              <w:pStyle w:val="p1"/>
              <w:spacing w:before="0" w:beforeAutospacing="0" w:after="0" w:afterAutospacing="0"/>
              <w:jc w:val="center"/>
              <w:rPr>
                <w:color w:val="000000"/>
                <w:sz w:val="26"/>
                <w:szCs w:val="26"/>
                <w:lang w:val="uk-UA"/>
              </w:rPr>
            </w:pPr>
            <w:r w:rsidRPr="00100419">
              <w:rPr>
                <w:color w:val="000000"/>
                <w:sz w:val="26"/>
                <w:szCs w:val="26"/>
                <w:lang w:val="uk-UA"/>
              </w:rPr>
              <w:t>Так</w:t>
            </w:r>
          </w:p>
        </w:tc>
        <w:tc>
          <w:tcPr>
            <w:tcW w:w="2552" w:type="dxa"/>
            <w:vAlign w:val="center"/>
          </w:tcPr>
          <w:p w:rsidR="00E602A1" w:rsidRPr="00100419" w:rsidRDefault="00E602A1" w:rsidP="00FE68B7">
            <w:pPr>
              <w:pStyle w:val="p5"/>
              <w:spacing w:before="0" w:beforeAutospacing="0" w:after="0" w:afterAutospacing="0"/>
              <w:jc w:val="center"/>
              <w:rPr>
                <w:color w:val="000000"/>
                <w:sz w:val="26"/>
                <w:szCs w:val="26"/>
                <w:lang w:val="uk-UA"/>
              </w:rPr>
            </w:pPr>
          </w:p>
        </w:tc>
      </w:tr>
      <w:tr w:rsidR="00E602A1" w:rsidRPr="00100419" w:rsidTr="00FE68B7">
        <w:tc>
          <w:tcPr>
            <w:tcW w:w="4503" w:type="dxa"/>
          </w:tcPr>
          <w:p w:rsidR="00E602A1" w:rsidRPr="00100419" w:rsidRDefault="00E602A1" w:rsidP="00FE68B7">
            <w:pPr>
              <w:spacing w:after="0" w:line="240" w:lineRule="auto"/>
              <w:jc w:val="both"/>
              <w:rPr>
                <w:rFonts w:ascii="Times New Roman" w:hAnsi="Times New Roman" w:cs="Times New Roman"/>
                <w:sz w:val="26"/>
                <w:szCs w:val="26"/>
                <w:lang w:val="uk-UA"/>
              </w:rPr>
            </w:pPr>
            <w:r w:rsidRPr="00100419">
              <w:rPr>
                <w:rFonts w:ascii="Times New Roman" w:hAnsi="Times New Roman" w:cs="Times New Roman"/>
                <w:color w:val="000000"/>
                <w:sz w:val="26"/>
                <w:szCs w:val="26"/>
                <w:lang w:val="uk-UA"/>
              </w:rPr>
              <w:t>у тому числі суб’єктами малого підприємництва</w:t>
            </w:r>
          </w:p>
        </w:tc>
        <w:tc>
          <w:tcPr>
            <w:tcW w:w="2409" w:type="dxa"/>
            <w:vAlign w:val="center"/>
          </w:tcPr>
          <w:p w:rsidR="00E602A1" w:rsidRPr="00100419" w:rsidRDefault="00E602A1" w:rsidP="00FE68B7">
            <w:pPr>
              <w:pStyle w:val="p1"/>
              <w:spacing w:before="0" w:beforeAutospacing="0" w:after="0" w:afterAutospacing="0"/>
              <w:jc w:val="center"/>
              <w:rPr>
                <w:color w:val="000000"/>
                <w:sz w:val="26"/>
                <w:szCs w:val="26"/>
                <w:lang w:val="uk-UA"/>
              </w:rPr>
            </w:pPr>
            <w:r w:rsidRPr="00100419">
              <w:rPr>
                <w:color w:val="000000"/>
                <w:sz w:val="26"/>
                <w:szCs w:val="26"/>
                <w:lang w:val="uk-UA"/>
              </w:rPr>
              <w:t>Так</w:t>
            </w:r>
          </w:p>
        </w:tc>
        <w:tc>
          <w:tcPr>
            <w:tcW w:w="2552" w:type="dxa"/>
            <w:vAlign w:val="center"/>
          </w:tcPr>
          <w:p w:rsidR="00E602A1" w:rsidRPr="00100419" w:rsidRDefault="00E602A1" w:rsidP="00FE68B7">
            <w:pPr>
              <w:pStyle w:val="p5"/>
              <w:spacing w:before="0" w:beforeAutospacing="0" w:after="0" w:afterAutospacing="0"/>
              <w:jc w:val="center"/>
              <w:rPr>
                <w:color w:val="000000"/>
                <w:sz w:val="26"/>
                <w:szCs w:val="26"/>
                <w:lang w:val="uk-UA"/>
              </w:rPr>
            </w:pPr>
          </w:p>
        </w:tc>
      </w:tr>
    </w:tbl>
    <w:p w:rsidR="00E602A1" w:rsidRPr="00100419" w:rsidRDefault="00E602A1" w:rsidP="00E602A1">
      <w:pPr>
        <w:spacing w:after="0" w:line="240" w:lineRule="auto"/>
        <w:jc w:val="both"/>
        <w:rPr>
          <w:rFonts w:ascii="Times New Roman" w:hAnsi="Times New Roman" w:cs="Times New Roman"/>
          <w:sz w:val="26"/>
          <w:szCs w:val="26"/>
          <w:lang w:val="uk-UA"/>
        </w:rPr>
      </w:pPr>
    </w:p>
    <w:p w:rsidR="00E602A1" w:rsidRPr="004F0683" w:rsidRDefault="00E602A1" w:rsidP="00E602A1">
      <w:pPr>
        <w:spacing w:after="0" w:line="240" w:lineRule="auto"/>
        <w:jc w:val="center"/>
        <w:rPr>
          <w:rFonts w:ascii="Times New Roman" w:hAnsi="Times New Roman" w:cs="Times New Roman"/>
          <w:sz w:val="26"/>
          <w:szCs w:val="26"/>
        </w:rPr>
      </w:pPr>
      <w:r w:rsidRPr="004F0683">
        <w:rPr>
          <w:rFonts w:ascii="Times New Roman" w:hAnsi="Times New Roman" w:cs="Times New Roman"/>
          <w:b/>
          <w:bCs/>
          <w:sz w:val="26"/>
          <w:szCs w:val="26"/>
        </w:rPr>
        <w:t>ІІ. Цілі державного регулювання</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Основними цілями прийняття регуляторного акту є:</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 регулювання відносин у сфері поводження з домашніми тваринами на території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ради</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забезпечення безпеки мешканців, в тому числі відповідно до Законів України «Про забезпечення санітарного та епідемічного благополуччя населення»,  «Про захист населення від інфекційних хвороб»;</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захист тварин від жорстокого поводження з ними та жорстокого умертвіння.</w:t>
      </w:r>
    </w:p>
    <w:p w:rsidR="00E602A1" w:rsidRPr="004F0683" w:rsidRDefault="00E602A1" w:rsidP="00E602A1">
      <w:pPr>
        <w:spacing w:after="0" w:line="240" w:lineRule="auto"/>
        <w:jc w:val="both"/>
        <w:rPr>
          <w:rFonts w:ascii="Times New Roman" w:hAnsi="Times New Roman" w:cs="Times New Roman"/>
          <w:b/>
          <w:bCs/>
          <w:sz w:val="26"/>
          <w:szCs w:val="26"/>
        </w:rPr>
      </w:pPr>
    </w:p>
    <w:p w:rsidR="00E602A1" w:rsidRPr="004F0683" w:rsidRDefault="00E602A1" w:rsidP="00E602A1">
      <w:pPr>
        <w:spacing w:after="0" w:line="240" w:lineRule="auto"/>
        <w:jc w:val="center"/>
        <w:rPr>
          <w:rFonts w:ascii="Times New Roman" w:hAnsi="Times New Roman" w:cs="Times New Roman"/>
          <w:sz w:val="26"/>
          <w:szCs w:val="26"/>
        </w:rPr>
      </w:pPr>
      <w:r w:rsidRPr="004F0683">
        <w:rPr>
          <w:rFonts w:ascii="Times New Roman" w:hAnsi="Times New Roman" w:cs="Times New Roman"/>
          <w:b/>
          <w:bCs/>
          <w:sz w:val="26"/>
          <w:szCs w:val="26"/>
        </w:rPr>
        <w:t>ІІІ. Визначення та оцінка альтернативних способів досягнення цілей</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Розробка та затвердження правил у сфері поводження з домашніми тваринами покладається на органи місцевого самоврядування відповідно до ст. 9 Закону України «Про захист тварин від жорстокого поводження», ст. 16 Закону України «Про захист населення від інфекційних хвороб».</w:t>
      </w:r>
    </w:p>
    <w:p w:rsidR="00E602A1"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Альтернативні способи досягнення цілей відсутні у зв’язку з необхідністю додержання вимог чинного законодавства у сфері поводження з домашніми тваринами та необхідністю регулювання ситуації, що склалася в цій сфері</w:t>
      </w:r>
      <w:r w:rsidRPr="004F0683">
        <w:rPr>
          <w:rFonts w:ascii="Times New Roman" w:hAnsi="Times New Roman" w:cs="Times New Roman"/>
          <w:sz w:val="26"/>
          <w:szCs w:val="26"/>
          <w:lang w:val="uk-UA"/>
        </w:rPr>
        <w:t xml:space="preserve"> на території </w:t>
      </w:r>
      <w:r>
        <w:rPr>
          <w:rFonts w:ascii="Times New Roman" w:hAnsi="Times New Roman" w:cs="Times New Roman"/>
          <w:sz w:val="26"/>
          <w:szCs w:val="26"/>
          <w:lang w:val="uk-UA"/>
        </w:rPr>
        <w:t>Сіверськ</w:t>
      </w:r>
      <w:r w:rsidRPr="004F0683">
        <w:rPr>
          <w:rFonts w:ascii="Times New Roman" w:hAnsi="Times New Roman" w:cs="Times New Roman"/>
          <w:sz w:val="26"/>
          <w:szCs w:val="26"/>
          <w:lang w:val="uk-UA"/>
        </w:rPr>
        <w:t>ої міської ради</w:t>
      </w:r>
      <w:r w:rsidRPr="004F0683">
        <w:rPr>
          <w:rFonts w:ascii="Times New Roman" w:hAnsi="Times New Roman" w:cs="Times New Roman"/>
          <w:sz w:val="26"/>
          <w:szCs w:val="26"/>
        </w:rPr>
        <w:t>.</w:t>
      </w:r>
    </w:p>
    <w:p w:rsidR="00E602A1" w:rsidRPr="008E66C8" w:rsidRDefault="00E602A1" w:rsidP="00E602A1">
      <w:pPr>
        <w:spacing w:after="0" w:line="240" w:lineRule="auto"/>
        <w:jc w:val="both"/>
        <w:rPr>
          <w:rFonts w:ascii="Times New Roman" w:hAnsi="Times New Roman" w:cs="Times New Roman"/>
          <w:sz w:val="26"/>
          <w:szCs w:val="26"/>
        </w:rPr>
      </w:pPr>
    </w:p>
    <w:p w:rsidR="00E602A1" w:rsidRPr="008E66C8" w:rsidRDefault="00E602A1" w:rsidP="00E602A1">
      <w:pPr>
        <w:jc w:val="both"/>
        <w:rPr>
          <w:rFonts w:ascii="Times New Roman" w:hAnsi="Times New Roman" w:cs="Times New Roman"/>
          <w:bCs/>
          <w:sz w:val="26"/>
          <w:szCs w:val="26"/>
          <w:lang w:val="uk-UA"/>
        </w:rPr>
      </w:pPr>
      <w:r w:rsidRPr="008E66C8">
        <w:rPr>
          <w:rFonts w:ascii="Times New Roman" w:hAnsi="Times New Roman" w:cs="Times New Roman"/>
          <w:bCs/>
          <w:sz w:val="26"/>
          <w:szCs w:val="26"/>
          <w:lang w:val="uk-UA"/>
        </w:rPr>
        <w:t>1 Альтернативні способи досягнення цілей державного регулювання:</w:t>
      </w:r>
    </w:p>
    <w:tbl>
      <w:tblPr>
        <w:tblW w:w="0" w:type="auto"/>
        <w:tblCellMar>
          <w:top w:w="15" w:type="dxa"/>
          <w:left w:w="15" w:type="dxa"/>
          <w:bottom w:w="15" w:type="dxa"/>
          <w:right w:w="15" w:type="dxa"/>
        </w:tblCellMar>
        <w:tblLook w:val="00A0" w:firstRow="1" w:lastRow="0" w:firstColumn="1" w:lastColumn="0" w:noHBand="0" w:noVBand="0"/>
      </w:tblPr>
      <w:tblGrid>
        <w:gridCol w:w="2815"/>
        <w:gridCol w:w="6524"/>
      </w:tblGrid>
      <w:tr w:rsidR="00E602A1" w:rsidRPr="008B1EA7" w:rsidTr="00FE68B7">
        <w:tc>
          <w:tcPr>
            <w:tcW w:w="28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spacing w:before="0" w:beforeAutospacing="0" w:after="0" w:afterAutospacing="0"/>
              <w:jc w:val="both"/>
              <w:rPr>
                <w:color w:val="000000"/>
                <w:sz w:val="26"/>
                <w:szCs w:val="26"/>
                <w:lang w:val="uk-UA"/>
              </w:rPr>
            </w:pPr>
            <w:r w:rsidRPr="008B1EA7">
              <w:rPr>
                <w:color w:val="000000"/>
                <w:sz w:val="26"/>
                <w:szCs w:val="26"/>
                <w:lang w:val="uk-UA"/>
              </w:rPr>
              <w:t>Вид альтернативи</w:t>
            </w:r>
          </w:p>
        </w:tc>
        <w:tc>
          <w:tcPr>
            <w:tcW w:w="652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spacing w:before="0" w:beforeAutospacing="0" w:after="0" w:afterAutospacing="0"/>
              <w:jc w:val="both"/>
              <w:rPr>
                <w:color w:val="000000"/>
                <w:sz w:val="26"/>
                <w:szCs w:val="26"/>
                <w:lang w:val="uk-UA"/>
              </w:rPr>
            </w:pPr>
            <w:r w:rsidRPr="008B1EA7">
              <w:rPr>
                <w:color w:val="000000"/>
                <w:sz w:val="26"/>
                <w:szCs w:val="26"/>
                <w:lang w:val="uk-UA"/>
              </w:rPr>
              <w:t>Опис альтернативи</w:t>
            </w:r>
          </w:p>
        </w:tc>
      </w:tr>
      <w:tr w:rsidR="00E602A1" w:rsidRPr="008B1EA7" w:rsidTr="00FE68B7">
        <w:tc>
          <w:tcPr>
            <w:tcW w:w="2815"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p2"/>
              <w:spacing w:before="0" w:beforeAutospacing="0" w:after="0" w:afterAutospacing="0"/>
              <w:rPr>
                <w:color w:val="000000"/>
                <w:sz w:val="26"/>
                <w:szCs w:val="26"/>
                <w:lang w:val="uk-UA"/>
              </w:rPr>
            </w:pPr>
            <w:r>
              <w:rPr>
                <w:color w:val="000000"/>
                <w:sz w:val="26"/>
                <w:szCs w:val="26"/>
                <w:lang w:val="uk-UA"/>
              </w:rPr>
              <w:t>неп</w:t>
            </w:r>
            <w:r w:rsidRPr="008B1EA7">
              <w:rPr>
                <w:color w:val="000000"/>
                <w:sz w:val="26"/>
                <w:szCs w:val="26"/>
                <w:lang w:val="uk-UA"/>
              </w:rPr>
              <w:t>рийняття про</w:t>
            </w:r>
            <w:r>
              <w:rPr>
                <w:color w:val="000000"/>
                <w:sz w:val="26"/>
                <w:szCs w:val="26"/>
                <w:lang w:val="uk-UA"/>
              </w:rPr>
              <w:t>є</w:t>
            </w:r>
            <w:r w:rsidRPr="008B1EA7">
              <w:rPr>
                <w:color w:val="000000"/>
                <w:sz w:val="26"/>
                <w:szCs w:val="26"/>
                <w:lang w:val="uk-UA"/>
              </w:rPr>
              <w:t>кту акт</w:t>
            </w:r>
            <w:r>
              <w:rPr>
                <w:color w:val="000000"/>
                <w:sz w:val="26"/>
                <w:szCs w:val="26"/>
                <w:lang w:val="uk-UA"/>
              </w:rPr>
              <w:t>у</w:t>
            </w:r>
          </w:p>
        </w:tc>
        <w:tc>
          <w:tcPr>
            <w:tcW w:w="652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t>Неприйняття запропованого регуляторного акта (залишення існуючої на даний момент ситуації без змін) Дана альтернатива не прийнятна через те, що урегулювання правових відносин між органами місцевого самоврядування та мешканцями, організаціями, установами й підприємствами, які утримують тварин, не відбудеться.</w:t>
            </w:r>
          </w:p>
        </w:tc>
      </w:tr>
      <w:tr w:rsidR="00E602A1" w:rsidRPr="008B1EA7" w:rsidTr="00FE68B7">
        <w:tc>
          <w:tcPr>
            <w:tcW w:w="281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spacing w:before="0" w:beforeAutospacing="0" w:after="0" w:afterAutospacing="0"/>
              <w:jc w:val="both"/>
              <w:rPr>
                <w:color w:val="000000"/>
                <w:sz w:val="26"/>
                <w:szCs w:val="26"/>
                <w:lang w:val="uk-UA"/>
              </w:rPr>
            </w:pPr>
            <w:r w:rsidRPr="008B1EA7">
              <w:rPr>
                <w:color w:val="000000"/>
                <w:sz w:val="26"/>
                <w:szCs w:val="26"/>
                <w:lang w:val="uk-UA"/>
              </w:rPr>
              <w:t>Прийняття про</w:t>
            </w:r>
            <w:r>
              <w:rPr>
                <w:color w:val="000000"/>
                <w:sz w:val="26"/>
                <w:szCs w:val="26"/>
                <w:lang w:val="uk-UA"/>
              </w:rPr>
              <w:t>є</w:t>
            </w:r>
            <w:r w:rsidRPr="008B1EA7">
              <w:rPr>
                <w:color w:val="000000"/>
                <w:sz w:val="26"/>
                <w:szCs w:val="26"/>
                <w:lang w:val="uk-UA"/>
              </w:rPr>
              <w:t>кту акт</w:t>
            </w:r>
            <w:r>
              <w:rPr>
                <w:color w:val="000000"/>
                <w:sz w:val="26"/>
                <w:szCs w:val="26"/>
                <w:lang w:val="uk-UA"/>
              </w:rPr>
              <w:t>у</w:t>
            </w:r>
          </w:p>
        </w:tc>
        <w:tc>
          <w:tcPr>
            <w:tcW w:w="652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Default="00E602A1" w:rsidP="00FE68B7">
            <w:pPr>
              <w:pStyle w:val="Default"/>
              <w:jc w:val="both"/>
              <w:rPr>
                <w:lang w:val="uk-UA"/>
              </w:rPr>
            </w:pPr>
            <w:r w:rsidRPr="00AC2DA6">
              <w:rPr>
                <w:lang w:val="uk-UA"/>
              </w:rPr>
              <w:t xml:space="preserve">Прийняття органом місцевого самоврядування регуляторного акта-рішення </w:t>
            </w:r>
            <w:r>
              <w:rPr>
                <w:lang w:val="uk-UA"/>
              </w:rPr>
              <w:t>Сіверської міської</w:t>
            </w:r>
            <w:r w:rsidRPr="00AC2DA6">
              <w:rPr>
                <w:lang w:val="uk-UA"/>
              </w:rPr>
              <w:t xml:space="preserve"> ради «</w:t>
            </w:r>
            <w:r w:rsidRPr="008E66C8">
              <w:rPr>
                <w:sz w:val="26"/>
                <w:szCs w:val="26"/>
                <w:lang w:val="uk-UA"/>
              </w:rPr>
              <w:t xml:space="preserve">Про </w:t>
            </w:r>
            <w:r w:rsidRPr="008E66C8">
              <w:rPr>
                <w:bCs/>
                <w:sz w:val="26"/>
                <w:szCs w:val="26"/>
                <w:lang w:val="uk-UA"/>
              </w:rPr>
              <w:t xml:space="preserve">затвердження </w:t>
            </w:r>
            <w:r w:rsidRPr="004F0683">
              <w:rPr>
                <w:sz w:val="26"/>
                <w:szCs w:val="26"/>
                <w:lang w:val="uk-UA"/>
              </w:rPr>
              <w:lastRenderedPageBreak/>
              <w:t>Правил утримання домашніх тварин на території Сіверської міської територіальної громади</w:t>
            </w:r>
            <w:r w:rsidRPr="00AC2DA6">
              <w:rPr>
                <w:lang w:val="uk-UA"/>
              </w:rPr>
              <w:t xml:space="preserve">» Затвердження Правил забезпечить: </w:t>
            </w:r>
          </w:p>
          <w:p w:rsidR="00E602A1" w:rsidRDefault="00E602A1" w:rsidP="00FE68B7">
            <w:pPr>
              <w:pStyle w:val="Default"/>
              <w:jc w:val="both"/>
              <w:rPr>
                <w:lang w:val="uk-UA"/>
              </w:rPr>
            </w:pPr>
            <w:r w:rsidRPr="00AC2DA6">
              <w:rPr>
                <w:lang w:val="uk-UA"/>
              </w:rPr>
              <w:t xml:space="preserve">- здійснення нормативного регулювання питань утримання і поводження з тваринами; </w:t>
            </w:r>
          </w:p>
          <w:p w:rsidR="00E602A1" w:rsidRDefault="00E602A1" w:rsidP="00FE68B7">
            <w:pPr>
              <w:pStyle w:val="Default"/>
              <w:jc w:val="both"/>
              <w:rPr>
                <w:lang w:val="uk-UA"/>
              </w:rPr>
            </w:pPr>
            <w:r w:rsidRPr="00AC2DA6">
              <w:rPr>
                <w:lang w:val="uk-UA"/>
              </w:rPr>
              <w:t>- забезпечення санітарно-епізоотичного благополуччя у населених пунктах, підвищення безпеки життя та здоров’я мешканців, у зв’язку зі зменшенням кількості нападів тварин;</w:t>
            </w:r>
          </w:p>
          <w:p w:rsidR="00E602A1" w:rsidRDefault="00E602A1" w:rsidP="00FE68B7">
            <w:pPr>
              <w:pStyle w:val="Default"/>
              <w:jc w:val="both"/>
              <w:rPr>
                <w:lang w:val="uk-UA"/>
              </w:rPr>
            </w:pPr>
            <w:r w:rsidRPr="00AC2DA6">
              <w:rPr>
                <w:lang w:val="uk-UA"/>
              </w:rPr>
              <w:t>- посилення контролю та відповідальності власників домашніх тварин за їх утримання;</w:t>
            </w:r>
          </w:p>
          <w:p w:rsidR="00E602A1" w:rsidRPr="00AC2DA6" w:rsidRDefault="00E602A1" w:rsidP="00FE68B7">
            <w:pPr>
              <w:pStyle w:val="Default"/>
              <w:jc w:val="both"/>
              <w:rPr>
                <w:sz w:val="26"/>
                <w:szCs w:val="26"/>
                <w:lang w:val="uk-UA"/>
              </w:rPr>
            </w:pPr>
            <w:r>
              <w:t>- удосконалення відносин, що виникають між власниками тварин та органами, що мають повноваження у сфері поводження з тваринами, зменшення конфліктних ситуацій, пов’язаних з триманням тварин.</w:t>
            </w:r>
          </w:p>
        </w:tc>
      </w:tr>
    </w:tbl>
    <w:p w:rsidR="00E602A1" w:rsidRDefault="00E602A1" w:rsidP="00E602A1">
      <w:pPr>
        <w:pStyle w:val="p2"/>
        <w:shd w:val="clear" w:color="auto" w:fill="FFFFFF"/>
        <w:spacing w:before="0" w:beforeAutospacing="0" w:after="0" w:afterAutospacing="0"/>
        <w:jc w:val="both"/>
        <w:rPr>
          <w:color w:val="000000"/>
          <w:sz w:val="26"/>
          <w:szCs w:val="26"/>
          <w:lang w:val="uk-UA"/>
        </w:rPr>
      </w:pPr>
    </w:p>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r w:rsidRPr="008B1EA7">
        <w:rPr>
          <w:color w:val="000000"/>
          <w:sz w:val="26"/>
          <w:szCs w:val="26"/>
          <w:lang w:val="uk-UA"/>
        </w:rPr>
        <w:t>2. Оцінка вибраних альтернативних способів досягнення цілей</w:t>
      </w:r>
    </w:p>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p>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r w:rsidRPr="008B1EA7">
        <w:rPr>
          <w:color w:val="000000"/>
          <w:sz w:val="26"/>
          <w:szCs w:val="26"/>
          <w:lang w:val="uk-UA"/>
        </w:rPr>
        <w:t>Оцінка впливу на сферу інтересів держави (територіальної громади)</w:t>
      </w:r>
    </w:p>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p>
    <w:tbl>
      <w:tblPr>
        <w:tblW w:w="0" w:type="auto"/>
        <w:tblCellMar>
          <w:top w:w="15" w:type="dxa"/>
          <w:left w:w="15" w:type="dxa"/>
          <w:bottom w:w="15" w:type="dxa"/>
          <w:right w:w="15" w:type="dxa"/>
        </w:tblCellMar>
        <w:tblLook w:val="00A0" w:firstRow="1" w:lastRow="0" w:firstColumn="1" w:lastColumn="0" w:noHBand="0" w:noVBand="0"/>
      </w:tblPr>
      <w:tblGrid>
        <w:gridCol w:w="2459"/>
        <w:gridCol w:w="4584"/>
        <w:gridCol w:w="2296"/>
      </w:tblGrid>
      <w:tr w:rsidR="00E602A1" w:rsidRPr="008B1EA7" w:rsidTr="00FE68B7">
        <w:tc>
          <w:tcPr>
            <w:tcW w:w="24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Вид альтернативи</w:t>
            </w:r>
          </w:p>
        </w:tc>
        <w:tc>
          <w:tcPr>
            <w:tcW w:w="458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Вигоди</w:t>
            </w:r>
          </w:p>
        </w:tc>
        <w:tc>
          <w:tcPr>
            <w:tcW w:w="22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Витрати</w:t>
            </w:r>
          </w:p>
        </w:tc>
      </w:tr>
      <w:tr w:rsidR="00E602A1" w:rsidRPr="008B1EA7" w:rsidTr="00FE68B7">
        <w:tc>
          <w:tcPr>
            <w:tcW w:w="2459"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 xml:space="preserve">Альтернатива 1. </w:t>
            </w:r>
          </w:p>
        </w:tc>
        <w:tc>
          <w:tcPr>
            <w:tcW w:w="4584"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c>
          <w:tcPr>
            <w:tcW w:w="2296"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r>
      <w:tr w:rsidR="00E602A1" w:rsidRPr="008B1EA7" w:rsidTr="00FE68B7">
        <w:tc>
          <w:tcPr>
            <w:tcW w:w="245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spacing w:before="0" w:beforeAutospacing="0" w:after="0" w:afterAutospacing="0"/>
              <w:jc w:val="both"/>
              <w:rPr>
                <w:color w:val="000000"/>
                <w:sz w:val="26"/>
                <w:szCs w:val="26"/>
                <w:lang w:val="uk-UA"/>
              </w:rPr>
            </w:pPr>
            <w:r>
              <w:t>Альтернатива 2.</w:t>
            </w:r>
          </w:p>
        </w:tc>
        <w:tc>
          <w:tcPr>
            <w:tcW w:w="4584"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Default"/>
              <w:rPr>
                <w:sz w:val="26"/>
                <w:szCs w:val="26"/>
              </w:rPr>
            </w:pPr>
            <w:r w:rsidRPr="00100419">
              <w:rPr>
                <w:lang w:val="uk-UA"/>
              </w:rPr>
              <w:t>Формування гуманного та етичного ставлення до тварин; посилення вимог Закону України «Про захист тварин від жорстокого поводження» та інших нормативно</w:t>
            </w:r>
            <w:r>
              <w:rPr>
                <w:lang w:val="uk-UA"/>
              </w:rPr>
              <w:t>-</w:t>
            </w:r>
            <w:r w:rsidRPr="00100419">
              <w:rPr>
                <w:lang w:val="uk-UA"/>
              </w:rPr>
              <w:t xml:space="preserve">правових актів з питань поводження з тваринами; підвищення відповідальності власників домашніх тварин за їх утримання. Здійснення нормативного врегулювання питань утримання і поводження з тваринами. Забезпечення санітарно-епізоотичного благополуччя у населених пунктах, підвищення безпеки життя та здоров’я мешканців, у зв’язку зі зменшенням кількості нападів тварин. </w:t>
            </w:r>
            <w:r>
              <w:t>Посилення контролю та відповідальності власників домашніх тварин за їх утримання.</w:t>
            </w:r>
          </w:p>
        </w:tc>
        <w:tc>
          <w:tcPr>
            <w:tcW w:w="229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p>
        </w:tc>
      </w:tr>
    </w:tbl>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p>
    <w:p w:rsidR="00E602A1" w:rsidRPr="008B1EA7" w:rsidRDefault="00E602A1" w:rsidP="00E602A1">
      <w:pPr>
        <w:pStyle w:val="p2"/>
        <w:shd w:val="clear" w:color="auto" w:fill="FFFFFF"/>
        <w:spacing w:before="0" w:beforeAutospacing="0" w:after="0" w:afterAutospacing="0"/>
        <w:jc w:val="both"/>
        <w:rPr>
          <w:color w:val="000000"/>
          <w:sz w:val="26"/>
          <w:szCs w:val="26"/>
          <w:lang w:val="uk-UA"/>
        </w:rPr>
      </w:pPr>
      <w:r w:rsidRPr="008B1EA7">
        <w:rPr>
          <w:color w:val="000000"/>
          <w:sz w:val="26"/>
          <w:szCs w:val="26"/>
          <w:lang w:val="uk-UA"/>
        </w:rPr>
        <w:t>Оцінка впливу на сферу інтересів громадян</w:t>
      </w:r>
    </w:p>
    <w:p w:rsidR="00E602A1" w:rsidRPr="008B1EA7" w:rsidRDefault="00E602A1" w:rsidP="00E602A1">
      <w:pPr>
        <w:pStyle w:val="Default"/>
        <w:jc w:val="both"/>
        <w:rPr>
          <w:sz w:val="26"/>
          <w:szCs w:val="26"/>
          <w:lang w:val="uk-UA"/>
        </w:rPr>
      </w:pPr>
    </w:p>
    <w:tbl>
      <w:tblPr>
        <w:tblW w:w="0" w:type="auto"/>
        <w:tblCellMar>
          <w:top w:w="15" w:type="dxa"/>
          <w:left w:w="15" w:type="dxa"/>
          <w:bottom w:w="15" w:type="dxa"/>
          <w:right w:w="15" w:type="dxa"/>
        </w:tblCellMar>
        <w:tblLook w:val="00A0" w:firstRow="1" w:lastRow="0" w:firstColumn="1" w:lastColumn="0" w:noHBand="0" w:noVBand="0"/>
      </w:tblPr>
      <w:tblGrid>
        <w:gridCol w:w="2458"/>
        <w:gridCol w:w="4581"/>
        <w:gridCol w:w="2300"/>
      </w:tblGrid>
      <w:tr w:rsidR="00E602A1" w:rsidRPr="008B1EA7" w:rsidTr="00FE68B7">
        <w:tc>
          <w:tcPr>
            <w:tcW w:w="24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Вид альтернативи</w:t>
            </w:r>
          </w:p>
        </w:tc>
        <w:tc>
          <w:tcPr>
            <w:tcW w:w="458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Вигоди</w:t>
            </w:r>
          </w:p>
        </w:tc>
        <w:tc>
          <w:tcPr>
            <w:tcW w:w="2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Витрати</w:t>
            </w:r>
          </w:p>
        </w:tc>
      </w:tr>
      <w:tr w:rsidR="00E602A1" w:rsidRPr="008B1EA7" w:rsidTr="00FE68B7">
        <w:tc>
          <w:tcPr>
            <w:tcW w:w="2458"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 xml:space="preserve">Альтернатива 1. </w:t>
            </w:r>
          </w:p>
        </w:tc>
        <w:tc>
          <w:tcPr>
            <w:tcW w:w="4581"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c>
          <w:tcPr>
            <w:tcW w:w="2300"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r>
      <w:tr w:rsidR="00E602A1" w:rsidRPr="008B1EA7" w:rsidTr="00FE68B7">
        <w:tc>
          <w:tcPr>
            <w:tcW w:w="24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spacing w:before="0" w:beforeAutospacing="0" w:after="0" w:afterAutospacing="0"/>
              <w:jc w:val="both"/>
              <w:rPr>
                <w:color w:val="000000"/>
                <w:sz w:val="26"/>
                <w:szCs w:val="26"/>
                <w:lang w:val="uk-UA"/>
              </w:rPr>
            </w:pPr>
            <w:r>
              <w:t>Альтернатива 2.</w:t>
            </w:r>
          </w:p>
        </w:tc>
        <w:tc>
          <w:tcPr>
            <w:tcW w:w="4581"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Default"/>
              <w:rPr>
                <w:sz w:val="26"/>
                <w:szCs w:val="26"/>
              </w:rPr>
            </w:pPr>
            <w:r>
              <w:t>Підвищення рівня дотримання ветеринарно-санітарних вимог власниками домашніх тварин до їх утримання. Підвищення безпеки життя та здоров’я мешканців шляхом зменшення кількості нападів безпритульних тварин на вулицях населених пунктів</w:t>
            </w:r>
          </w:p>
        </w:tc>
        <w:tc>
          <w:tcPr>
            <w:tcW w:w="230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5F20AA">
              <w:t>Відсутні</w:t>
            </w:r>
          </w:p>
        </w:tc>
      </w:tr>
    </w:tbl>
    <w:p w:rsidR="00E602A1" w:rsidRDefault="00E602A1" w:rsidP="00E602A1">
      <w:pPr>
        <w:pStyle w:val="Default"/>
        <w:jc w:val="both"/>
        <w:rPr>
          <w:sz w:val="26"/>
          <w:szCs w:val="26"/>
          <w:lang w:val="uk-UA"/>
        </w:rPr>
      </w:pPr>
    </w:p>
    <w:p w:rsidR="00E602A1" w:rsidRPr="008B1EA7" w:rsidRDefault="00E602A1" w:rsidP="00E602A1">
      <w:pPr>
        <w:pStyle w:val="Default"/>
        <w:jc w:val="both"/>
        <w:rPr>
          <w:sz w:val="26"/>
          <w:szCs w:val="26"/>
          <w:lang w:val="uk-UA"/>
        </w:rPr>
      </w:pPr>
      <w:r w:rsidRPr="008B1EA7">
        <w:rPr>
          <w:sz w:val="26"/>
          <w:szCs w:val="26"/>
          <w:lang w:val="uk-UA"/>
        </w:rPr>
        <w:t xml:space="preserve">Оцінка впливу на сферу інтересів суб’єктів господарювання </w:t>
      </w:r>
    </w:p>
    <w:p w:rsidR="00E602A1" w:rsidRPr="008B1EA7" w:rsidRDefault="00E602A1" w:rsidP="00E602A1">
      <w:pPr>
        <w:pStyle w:val="Default"/>
        <w:jc w:val="both"/>
        <w:rPr>
          <w:sz w:val="26"/>
          <w:szCs w:val="26"/>
          <w:lang w:val="uk-U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11"/>
        <w:gridCol w:w="1446"/>
        <w:gridCol w:w="1475"/>
        <w:gridCol w:w="1452"/>
        <w:gridCol w:w="1434"/>
        <w:gridCol w:w="1427"/>
      </w:tblGrid>
      <w:tr w:rsidR="00E602A1" w:rsidRPr="008B1EA7" w:rsidTr="00FE68B7">
        <w:tc>
          <w:tcPr>
            <w:tcW w:w="1965" w:type="dxa"/>
          </w:tcPr>
          <w:p w:rsidR="00E602A1" w:rsidRPr="008B1EA7" w:rsidRDefault="00E602A1" w:rsidP="00FE68B7">
            <w:pPr>
              <w:pStyle w:val="Default"/>
              <w:jc w:val="both"/>
              <w:rPr>
                <w:sz w:val="26"/>
                <w:szCs w:val="26"/>
                <w:lang w:val="uk-UA"/>
              </w:rPr>
            </w:pPr>
            <w:r w:rsidRPr="008B1EA7">
              <w:rPr>
                <w:sz w:val="26"/>
                <w:szCs w:val="26"/>
                <w:lang w:val="uk-UA"/>
              </w:rPr>
              <w:lastRenderedPageBreak/>
              <w:t xml:space="preserve">Показник </w:t>
            </w:r>
          </w:p>
        </w:tc>
        <w:tc>
          <w:tcPr>
            <w:tcW w:w="1538" w:type="dxa"/>
            <w:tcBorders>
              <w:bottom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Великі </w:t>
            </w:r>
          </w:p>
        </w:tc>
        <w:tc>
          <w:tcPr>
            <w:tcW w:w="1548" w:type="dxa"/>
            <w:tcBorders>
              <w:bottom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Середні </w:t>
            </w:r>
          </w:p>
        </w:tc>
        <w:tc>
          <w:tcPr>
            <w:tcW w:w="1525" w:type="dxa"/>
            <w:tcBorders>
              <w:bottom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Малі </w:t>
            </w:r>
          </w:p>
        </w:tc>
        <w:tc>
          <w:tcPr>
            <w:tcW w:w="1535" w:type="dxa"/>
            <w:tcBorders>
              <w:bottom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Мікро </w:t>
            </w:r>
          </w:p>
        </w:tc>
        <w:tc>
          <w:tcPr>
            <w:tcW w:w="1533" w:type="dxa"/>
            <w:tcBorders>
              <w:bottom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Разом </w:t>
            </w:r>
          </w:p>
        </w:tc>
      </w:tr>
      <w:tr w:rsidR="00E602A1" w:rsidRPr="008B1EA7" w:rsidTr="00FE68B7">
        <w:tc>
          <w:tcPr>
            <w:tcW w:w="1965" w:type="dxa"/>
            <w:tcBorders>
              <w:right w:val="single" w:sz="4" w:space="0" w:color="auto"/>
            </w:tcBorders>
          </w:tcPr>
          <w:p w:rsidR="00E602A1" w:rsidRPr="008B1EA7" w:rsidRDefault="00E602A1" w:rsidP="00FE68B7">
            <w:pPr>
              <w:pStyle w:val="Default"/>
              <w:jc w:val="both"/>
              <w:rPr>
                <w:sz w:val="26"/>
                <w:szCs w:val="26"/>
                <w:lang w:val="uk-UA"/>
              </w:rPr>
            </w:pPr>
            <w:r w:rsidRPr="008B1EA7">
              <w:rPr>
                <w:sz w:val="26"/>
                <w:szCs w:val="26"/>
                <w:lang w:val="uk-UA"/>
              </w:rPr>
              <w:t xml:space="preserve">Кількість суб’єктів господарювання, що підпадають під дію регулювання, одиниць* </w:t>
            </w:r>
          </w:p>
        </w:tc>
        <w:tc>
          <w:tcPr>
            <w:tcW w:w="1538" w:type="dxa"/>
            <w:tcBorders>
              <w:top w:val="single" w:sz="4" w:space="0" w:color="auto"/>
              <w:left w:val="single" w:sz="4" w:space="0" w:color="auto"/>
              <w:bottom w:val="single" w:sz="4" w:space="0" w:color="auto"/>
              <w:right w:val="single" w:sz="4" w:space="0" w:color="auto"/>
            </w:tcBorders>
          </w:tcPr>
          <w:p w:rsidR="00E602A1" w:rsidRPr="008B1EA7" w:rsidRDefault="00E602A1" w:rsidP="00FE68B7">
            <w:pPr>
              <w:pStyle w:val="Default"/>
              <w:jc w:val="center"/>
              <w:rPr>
                <w:sz w:val="26"/>
                <w:szCs w:val="26"/>
                <w:lang w:val="uk-UA"/>
              </w:rPr>
            </w:pPr>
            <w:r>
              <w:rPr>
                <w:sz w:val="26"/>
                <w:szCs w:val="26"/>
                <w:lang w:val="uk-UA"/>
              </w:rPr>
              <w:t>0</w:t>
            </w:r>
          </w:p>
        </w:tc>
        <w:tc>
          <w:tcPr>
            <w:tcW w:w="1548" w:type="dxa"/>
            <w:tcBorders>
              <w:top w:val="single" w:sz="4" w:space="0" w:color="auto"/>
              <w:left w:val="single" w:sz="4" w:space="0" w:color="auto"/>
              <w:bottom w:val="single" w:sz="4" w:space="0" w:color="auto"/>
              <w:right w:val="single" w:sz="4" w:space="0" w:color="auto"/>
            </w:tcBorders>
          </w:tcPr>
          <w:p w:rsidR="00E602A1" w:rsidRPr="008B1EA7" w:rsidRDefault="00E602A1" w:rsidP="00FE68B7">
            <w:pPr>
              <w:pStyle w:val="Default"/>
              <w:jc w:val="center"/>
              <w:rPr>
                <w:sz w:val="26"/>
                <w:szCs w:val="26"/>
                <w:lang w:val="uk-UA"/>
              </w:rPr>
            </w:pPr>
            <w:r>
              <w:rPr>
                <w:sz w:val="26"/>
                <w:szCs w:val="26"/>
                <w:lang w:val="uk-UA"/>
              </w:rPr>
              <w:t>1</w:t>
            </w:r>
          </w:p>
          <w:p w:rsidR="00E602A1" w:rsidRPr="008B1EA7" w:rsidRDefault="00E602A1" w:rsidP="00FE68B7">
            <w:pPr>
              <w:pStyle w:val="Default"/>
              <w:jc w:val="center"/>
              <w:rPr>
                <w:sz w:val="26"/>
                <w:szCs w:val="26"/>
                <w:lang w:val="uk-UA"/>
              </w:rPr>
            </w:pPr>
          </w:p>
        </w:tc>
        <w:tc>
          <w:tcPr>
            <w:tcW w:w="1525" w:type="dxa"/>
            <w:tcBorders>
              <w:top w:val="single" w:sz="4" w:space="0" w:color="auto"/>
              <w:left w:val="single" w:sz="4" w:space="0" w:color="auto"/>
              <w:bottom w:val="single" w:sz="4" w:space="0" w:color="auto"/>
              <w:right w:val="single" w:sz="4" w:space="0" w:color="auto"/>
            </w:tcBorders>
          </w:tcPr>
          <w:p w:rsidR="00E602A1" w:rsidRPr="008B1EA7" w:rsidRDefault="00E602A1" w:rsidP="00FE68B7">
            <w:pPr>
              <w:pStyle w:val="Default"/>
              <w:jc w:val="center"/>
              <w:rPr>
                <w:sz w:val="26"/>
                <w:szCs w:val="26"/>
                <w:lang w:val="uk-UA"/>
              </w:rPr>
            </w:pPr>
            <w:r>
              <w:rPr>
                <w:sz w:val="26"/>
                <w:szCs w:val="26"/>
                <w:lang w:val="uk-UA"/>
              </w:rPr>
              <w:t>2</w:t>
            </w:r>
          </w:p>
          <w:p w:rsidR="00E602A1" w:rsidRPr="008B1EA7" w:rsidRDefault="00E602A1" w:rsidP="00FE68B7">
            <w:pPr>
              <w:pStyle w:val="Default"/>
              <w:tabs>
                <w:tab w:val="left" w:pos="435"/>
                <w:tab w:val="center" w:pos="608"/>
              </w:tabs>
              <w:rPr>
                <w:sz w:val="26"/>
                <w:szCs w:val="26"/>
                <w:lang w:val="uk-UA"/>
              </w:rPr>
            </w:pPr>
            <w:r w:rsidRPr="008B1EA7">
              <w:rPr>
                <w:sz w:val="26"/>
                <w:szCs w:val="26"/>
                <w:lang w:val="uk-UA"/>
              </w:rPr>
              <w:tab/>
            </w:r>
          </w:p>
        </w:tc>
        <w:tc>
          <w:tcPr>
            <w:tcW w:w="1535" w:type="dxa"/>
            <w:tcBorders>
              <w:top w:val="single" w:sz="4" w:space="0" w:color="auto"/>
              <w:left w:val="single" w:sz="4" w:space="0" w:color="auto"/>
              <w:bottom w:val="single" w:sz="4" w:space="0" w:color="auto"/>
              <w:right w:val="single" w:sz="4" w:space="0" w:color="auto"/>
            </w:tcBorders>
          </w:tcPr>
          <w:p w:rsidR="00E602A1" w:rsidRPr="008B1EA7" w:rsidRDefault="00E602A1" w:rsidP="00FE68B7">
            <w:pPr>
              <w:pStyle w:val="Default"/>
              <w:jc w:val="center"/>
              <w:rPr>
                <w:sz w:val="26"/>
                <w:szCs w:val="26"/>
                <w:lang w:val="uk-UA"/>
              </w:rPr>
            </w:pPr>
            <w:r>
              <w:rPr>
                <w:sz w:val="26"/>
                <w:szCs w:val="26"/>
                <w:lang w:val="uk-UA"/>
              </w:rPr>
              <w:t>42</w:t>
            </w:r>
          </w:p>
          <w:p w:rsidR="00E602A1" w:rsidRPr="008B1EA7" w:rsidRDefault="00E602A1" w:rsidP="00FE68B7">
            <w:pPr>
              <w:pStyle w:val="Default"/>
              <w:jc w:val="center"/>
              <w:rPr>
                <w:sz w:val="26"/>
                <w:szCs w:val="26"/>
                <w:lang w:val="uk-UA"/>
              </w:rPr>
            </w:pPr>
          </w:p>
        </w:tc>
        <w:tc>
          <w:tcPr>
            <w:tcW w:w="1533" w:type="dxa"/>
            <w:tcBorders>
              <w:top w:val="single" w:sz="4" w:space="0" w:color="auto"/>
              <w:left w:val="single" w:sz="4" w:space="0" w:color="auto"/>
              <w:bottom w:val="single" w:sz="4" w:space="0" w:color="auto"/>
              <w:right w:val="single" w:sz="4" w:space="0" w:color="auto"/>
            </w:tcBorders>
          </w:tcPr>
          <w:p w:rsidR="00E602A1" w:rsidRPr="008B1EA7" w:rsidRDefault="00E602A1" w:rsidP="00FE68B7">
            <w:pPr>
              <w:pStyle w:val="Default"/>
              <w:jc w:val="center"/>
              <w:rPr>
                <w:sz w:val="26"/>
                <w:szCs w:val="26"/>
                <w:lang w:val="uk-UA"/>
              </w:rPr>
            </w:pPr>
            <w:r>
              <w:rPr>
                <w:sz w:val="26"/>
                <w:szCs w:val="26"/>
                <w:lang w:val="uk-UA"/>
              </w:rPr>
              <w:t>45</w:t>
            </w:r>
          </w:p>
        </w:tc>
      </w:tr>
      <w:tr w:rsidR="00E602A1" w:rsidRPr="008B1EA7" w:rsidTr="00FE68B7">
        <w:tc>
          <w:tcPr>
            <w:tcW w:w="1965" w:type="dxa"/>
          </w:tcPr>
          <w:p w:rsidR="00E602A1" w:rsidRPr="008B1EA7" w:rsidRDefault="00E602A1" w:rsidP="00FE68B7">
            <w:pPr>
              <w:pStyle w:val="Default"/>
              <w:jc w:val="both"/>
              <w:rPr>
                <w:sz w:val="26"/>
                <w:szCs w:val="26"/>
                <w:lang w:val="uk-UA"/>
              </w:rPr>
            </w:pPr>
            <w:r w:rsidRPr="008B1EA7">
              <w:rPr>
                <w:sz w:val="26"/>
                <w:szCs w:val="26"/>
                <w:lang w:val="uk-UA"/>
              </w:rPr>
              <w:t xml:space="preserve">Питома вага групи у загальній кількості, відсотків </w:t>
            </w:r>
          </w:p>
        </w:tc>
        <w:tc>
          <w:tcPr>
            <w:tcW w:w="1538" w:type="dxa"/>
            <w:tcBorders>
              <w:top w:val="single" w:sz="4" w:space="0" w:color="auto"/>
            </w:tcBorders>
          </w:tcPr>
          <w:p w:rsidR="00E602A1" w:rsidRPr="008B1EA7" w:rsidRDefault="00E602A1" w:rsidP="00FE68B7">
            <w:pPr>
              <w:pStyle w:val="Default"/>
              <w:jc w:val="center"/>
              <w:rPr>
                <w:sz w:val="26"/>
                <w:szCs w:val="26"/>
                <w:lang w:val="uk-UA"/>
              </w:rPr>
            </w:pPr>
          </w:p>
          <w:p w:rsidR="00E602A1" w:rsidRPr="008B1EA7" w:rsidRDefault="00E602A1" w:rsidP="00FE68B7">
            <w:pPr>
              <w:pStyle w:val="Default"/>
              <w:jc w:val="center"/>
              <w:rPr>
                <w:sz w:val="26"/>
                <w:szCs w:val="26"/>
                <w:lang w:val="uk-UA"/>
              </w:rPr>
            </w:pPr>
            <w:r w:rsidRPr="008B1EA7">
              <w:rPr>
                <w:sz w:val="26"/>
                <w:szCs w:val="26"/>
                <w:lang w:val="uk-UA"/>
              </w:rPr>
              <w:t>-</w:t>
            </w:r>
          </w:p>
        </w:tc>
        <w:tc>
          <w:tcPr>
            <w:tcW w:w="1548" w:type="dxa"/>
            <w:tcBorders>
              <w:top w:val="single" w:sz="4" w:space="0" w:color="auto"/>
            </w:tcBorders>
          </w:tcPr>
          <w:p w:rsidR="00E602A1" w:rsidRPr="008B1EA7" w:rsidRDefault="00E602A1" w:rsidP="00FE68B7">
            <w:pPr>
              <w:pStyle w:val="Default"/>
              <w:jc w:val="center"/>
              <w:rPr>
                <w:sz w:val="26"/>
                <w:szCs w:val="26"/>
                <w:lang w:val="uk-UA"/>
              </w:rPr>
            </w:pPr>
          </w:p>
          <w:p w:rsidR="00E602A1" w:rsidRPr="008B1EA7" w:rsidRDefault="00E602A1" w:rsidP="00FE68B7">
            <w:pPr>
              <w:pStyle w:val="Default"/>
              <w:jc w:val="center"/>
              <w:rPr>
                <w:sz w:val="26"/>
                <w:szCs w:val="26"/>
                <w:lang w:val="uk-UA"/>
              </w:rPr>
            </w:pPr>
            <w:r w:rsidRPr="008B1EA7">
              <w:rPr>
                <w:sz w:val="26"/>
                <w:szCs w:val="26"/>
                <w:lang w:val="uk-UA"/>
              </w:rPr>
              <w:t>-</w:t>
            </w:r>
          </w:p>
        </w:tc>
        <w:tc>
          <w:tcPr>
            <w:tcW w:w="1525" w:type="dxa"/>
            <w:tcBorders>
              <w:top w:val="single" w:sz="4" w:space="0" w:color="auto"/>
            </w:tcBorders>
          </w:tcPr>
          <w:p w:rsidR="00E602A1" w:rsidRPr="008B1EA7" w:rsidRDefault="00E602A1" w:rsidP="00FE68B7">
            <w:pPr>
              <w:pStyle w:val="Default"/>
              <w:jc w:val="center"/>
              <w:rPr>
                <w:sz w:val="26"/>
                <w:szCs w:val="26"/>
                <w:lang w:val="uk-UA"/>
              </w:rPr>
            </w:pPr>
          </w:p>
          <w:p w:rsidR="00E602A1" w:rsidRPr="008B1EA7" w:rsidRDefault="00E602A1" w:rsidP="00FE68B7">
            <w:pPr>
              <w:pStyle w:val="Default"/>
              <w:tabs>
                <w:tab w:val="left" w:pos="465"/>
                <w:tab w:val="center" w:pos="608"/>
              </w:tabs>
              <w:rPr>
                <w:sz w:val="26"/>
                <w:szCs w:val="26"/>
                <w:lang w:val="uk-UA"/>
              </w:rPr>
            </w:pPr>
            <w:r w:rsidRPr="008B1EA7">
              <w:rPr>
                <w:sz w:val="26"/>
                <w:szCs w:val="26"/>
                <w:lang w:val="uk-UA"/>
              </w:rPr>
              <w:tab/>
              <w:t>100</w:t>
            </w:r>
          </w:p>
        </w:tc>
        <w:tc>
          <w:tcPr>
            <w:tcW w:w="1535" w:type="dxa"/>
            <w:tcBorders>
              <w:top w:val="single" w:sz="4" w:space="0" w:color="auto"/>
            </w:tcBorders>
          </w:tcPr>
          <w:p w:rsidR="00E602A1" w:rsidRPr="008B1EA7" w:rsidRDefault="00E602A1" w:rsidP="00FE68B7">
            <w:pPr>
              <w:pStyle w:val="Default"/>
              <w:jc w:val="center"/>
              <w:rPr>
                <w:sz w:val="26"/>
                <w:szCs w:val="26"/>
                <w:lang w:val="uk-UA"/>
              </w:rPr>
            </w:pPr>
          </w:p>
          <w:p w:rsidR="00E602A1" w:rsidRPr="008B1EA7" w:rsidRDefault="00E602A1" w:rsidP="00FE68B7">
            <w:pPr>
              <w:pStyle w:val="Default"/>
              <w:jc w:val="center"/>
              <w:rPr>
                <w:sz w:val="26"/>
                <w:szCs w:val="26"/>
                <w:lang w:val="uk-UA"/>
              </w:rPr>
            </w:pPr>
            <w:r w:rsidRPr="008B1EA7">
              <w:rPr>
                <w:sz w:val="26"/>
                <w:szCs w:val="26"/>
                <w:lang w:val="uk-UA"/>
              </w:rPr>
              <w:t>-</w:t>
            </w:r>
          </w:p>
        </w:tc>
        <w:tc>
          <w:tcPr>
            <w:tcW w:w="1533" w:type="dxa"/>
            <w:tcBorders>
              <w:top w:val="single" w:sz="4" w:space="0" w:color="auto"/>
            </w:tcBorders>
          </w:tcPr>
          <w:p w:rsidR="00E602A1" w:rsidRPr="008B1EA7" w:rsidRDefault="00E602A1" w:rsidP="00FE68B7">
            <w:pPr>
              <w:pStyle w:val="Default"/>
              <w:jc w:val="center"/>
              <w:rPr>
                <w:sz w:val="26"/>
                <w:szCs w:val="26"/>
                <w:lang w:val="uk-UA"/>
              </w:rPr>
            </w:pPr>
          </w:p>
          <w:p w:rsidR="00E602A1" w:rsidRPr="008B1EA7" w:rsidRDefault="00E602A1" w:rsidP="00FE68B7">
            <w:pPr>
              <w:pStyle w:val="Default"/>
              <w:jc w:val="center"/>
              <w:rPr>
                <w:sz w:val="26"/>
                <w:szCs w:val="26"/>
                <w:lang w:val="uk-UA"/>
              </w:rPr>
            </w:pPr>
            <w:r w:rsidRPr="008B1EA7">
              <w:rPr>
                <w:sz w:val="26"/>
                <w:szCs w:val="26"/>
                <w:lang w:val="uk-UA"/>
              </w:rPr>
              <w:t>100</w:t>
            </w:r>
          </w:p>
        </w:tc>
      </w:tr>
    </w:tbl>
    <w:p w:rsidR="00E602A1" w:rsidRPr="008B1EA7" w:rsidRDefault="00E602A1" w:rsidP="00E602A1">
      <w:pPr>
        <w:pStyle w:val="p2"/>
        <w:shd w:val="clear" w:color="auto" w:fill="FFFFFF"/>
        <w:spacing w:before="0" w:beforeAutospacing="0" w:after="0" w:afterAutospacing="0"/>
        <w:jc w:val="both"/>
        <w:rPr>
          <w:sz w:val="26"/>
          <w:szCs w:val="26"/>
          <w:lang w:val="uk-UA"/>
        </w:rPr>
      </w:pPr>
    </w:p>
    <w:tbl>
      <w:tblPr>
        <w:tblW w:w="0" w:type="auto"/>
        <w:tblCellMar>
          <w:top w:w="15" w:type="dxa"/>
          <w:left w:w="15" w:type="dxa"/>
          <w:bottom w:w="15" w:type="dxa"/>
          <w:right w:w="15" w:type="dxa"/>
        </w:tblCellMar>
        <w:tblLook w:val="00A0" w:firstRow="1" w:lastRow="0" w:firstColumn="1" w:lastColumn="0" w:noHBand="0" w:noVBand="0"/>
      </w:tblPr>
      <w:tblGrid>
        <w:gridCol w:w="2771"/>
        <w:gridCol w:w="4122"/>
        <w:gridCol w:w="2446"/>
      </w:tblGrid>
      <w:tr w:rsidR="00E602A1" w:rsidRPr="008B1EA7" w:rsidTr="00FE68B7">
        <w:tc>
          <w:tcPr>
            <w:tcW w:w="27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Вид альтернативи</w:t>
            </w:r>
          </w:p>
        </w:tc>
        <w:tc>
          <w:tcPr>
            <w:tcW w:w="41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Вигоди</w:t>
            </w:r>
          </w:p>
        </w:tc>
        <w:tc>
          <w:tcPr>
            <w:tcW w:w="24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8B1EA7">
              <w:rPr>
                <w:color w:val="000000"/>
                <w:sz w:val="26"/>
                <w:szCs w:val="26"/>
                <w:lang w:val="uk-UA"/>
              </w:rPr>
              <w:t>Витрати</w:t>
            </w:r>
          </w:p>
        </w:tc>
      </w:tr>
      <w:tr w:rsidR="00E602A1" w:rsidRPr="008B1EA7" w:rsidTr="00FE68B7">
        <w:tc>
          <w:tcPr>
            <w:tcW w:w="2771"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 xml:space="preserve">Альтернатива 1. </w:t>
            </w:r>
          </w:p>
        </w:tc>
        <w:tc>
          <w:tcPr>
            <w:tcW w:w="4122"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c>
          <w:tcPr>
            <w:tcW w:w="2446"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rPr>
                <w:rFonts w:ascii="Times New Roman" w:hAnsi="Times New Roman" w:cs="Times New Roman"/>
              </w:rPr>
            </w:pPr>
            <w:r w:rsidRPr="008E66C8">
              <w:rPr>
                <w:rFonts w:ascii="Times New Roman" w:hAnsi="Times New Roman" w:cs="Times New Roman"/>
              </w:rPr>
              <w:t>Відсутні</w:t>
            </w:r>
          </w:p>
        </w:tc>
      </w:tr>
      <w:tr w:rsidR="00E602A1" w:rsidRPr="008B1EA7" w:rsidTr="00FE68B7">
        <w:tc>
          <w:tcPr>
            <w:tcW w:w="2771"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rPr>
                <w:color w:val="000000"/>
                <w:sz w:val="26"/>
                <w:szCs w:val="26"/>
                <w:lang w:val="uk-UA"/>
              </w:rPr>
            </w:pPr>
            <w:r>
              <w:t>Альтернатива 2.</w:t>
            </w:r>
          </w:p>
        </w:tc>
        <w:tc>
          <w:tcPr>
            <w:tcW w:w="412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t>Здійснення нормативного врегулювання питань утримання і поводження з тваринами. Забезпечення санітарно</w:t>
            </w:r>
            <w:r>
              <w:rPr>
                <w:lang w:val="uk-UA"/>
              </w:rPr>
              <w:t>-</w:t>
            </w:r>
            <w:r>
              <w:t>епізоотичного благополуччя у населених пунктах, підвищення безпеки життя та здоров’я мешканців, у зв’язку зі зменшенням кількості нападів тварин.</w:t>
            </w:r>
          </w:p>
        </w:tc>
        <w:tc>
          <w:tcPr>
            <w:tcW w:w="244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spacing w:before="0" w:beforeAutospacing="0" w:after="0" w:afterAutospacing="0"/>
              <w:jc w:val="both"/>
              <w:rPr>
                <w:color w:val="000000"/>
                <w:sz w:val="26"/>
                <w:szCs w:val="26"/>
                <w:lang w:val="uk-UA"/>
              </w:rPr>
            </w:pPr>
            <w:r w:rsidRPr="005F20AA">
              <w:t>Відсутні</w:t>
            </w:r>
          </w:p>
        </w:tc>
      </w:tr>
    </w:tbl>
    <w:p w:rsidR="00E602A1" w:rsidRPr="008B1EA7" w:rsidRDefault="00E602A1" w:rsidP="00E602A1">
      <w:pPr>
        <w:pStyle w:val="Default"/>
        <w:jc w:val="both"/>
        <w:rPr>
          <w:sz w:val="26"/>
          <w:szCs w:val="26"/>
          <w:lang w:val="uk-UA"/>
        </w:rPr>
      </w:pPr>
    </w:p>
    <w:p w:rsidR="00E602A1" w:rsidRPr="008E66C8" w:rsidRDefault="00E602A1" w:rsidP="00E602A1">
      <w:pPr>
        <w:jc w:val="both"/>
        <w:rPr>
          <w:rFonts w:ascii="Times New Roman" w:hAnsi="Times New Roman" w:cs="Times New Roman"/>
          <w:b/>
          <w:sz w:val="26"/>
          <w:szCs w:val="26"/>
          <w:lang w:val="uk-UA"/>
        </w:rPr>
      </w:pPr>
      <w:r w:rsidRPr="008E66C8">
        <w:rPr>
          <w:rFonts w:ascii="Times New Roman" w:hAnsi="Times New Roman" w:cs="Times New Roman"/>
        </w:rPr>
        <w:t>Розрахунок витрат на виконання вимог регуляторного акта для органів місцевого самоврядування згідно з додатком 3 до Методики проведення аналізу впливу регуляторного акта не здійснювався, оскілки 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w:t>
      </w:r>
    </w:p>
    <w:p w:rsidR="00E602A1" w:rsidRDefault="00E602A1" w:rsidP="00E602A1">
      <w:pPr>
        <w:jc w:val="center"/>
        <w:rPr>
          <w:rFonts w:ascii="Times New Roman" w:hAnsi="Times New Roman" w:cs="Times New Roman"/>
          <w:b/>
          <w:sz w:val="26"/>
          <w:szCs w:val="26"/>
        </w:rPr>
      </w:pPr>
      <w:r w:rsidRPr="004F0683">
        <w:rPr>
          <w:rFonts w:ascii="Times New Roman" w:hAnsi="Times New Roman" w:cs="Times New Roman"/>
          <w:b/>
          <w:sz w:val="26"/>
          <w:szCs w:val="26"/>
        </w:rPr>
        <w:t>IV. Вибір найбільш оптимального альтернативного способу досягнення цілей</w:t>
      </w:r>
    </w:p>
    <w:p w:rsidR="00E602A1" w:rsidRPr="008E66C8" w:rsidRDefault="00E602A1" w:rsidP="00E602A1">
      <w:pPr>
        <w:jc w:val="both"/>
        <w:rPr>
          <w:rFonts w:ascii="Times New Roman" w:hAnsi="Times New Roman" w:cs="Times New Roman"/>
          <w:b/>
          <w:sz w:val="26"/>
          <w:szCs w:val="26"/>
        </w:rPr>
      </w:pPr>
      <w:r w:rsidRPr="008E66C8">
        <w:rPr>
          <w:rFonts w:ascii="Times New Roman" w:hAnsi="Times New Roman" w:cs="Times New Roman"/>
        </w:rPr>
        <w:t>Оцінка ступеня досягнення визначених цілей визначається за чотирибальною системою, де: 4 – цілі прийняття регуляторного акта, які можуть бути досягнуті повною мірою (проблема більше існувати не буде); 3 – цілі прийняття регуляторного акта, які можуть бути досягнуті майже повною мірою (усі важливі аспекти проблеми існувати не будуть); 2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 вирішеними); 1 – цілі прийняття регуляторного акта, які не можуть бути досягнуті (проблема продовжує існувати).</w:t>
      </w:r>
    </w:p>
    <w:tbl>
      <w:tblPr>
        <w:tblW w:w="0" w:type="auto"/>
        <w:tblCellMar>
          <w:top w:w="15" w:type="dxa"/>
          <w:left w:w="15" w:type="dxa"/>
          <w:bottom w:w="15" w:type="dxa"/>
          <w:right w:w="15" w:type="dxa"/>
        </w:tblCellMar>
        <w:tblLook w:val="00A0" w:firstRow="1" w:lastRow="0" w:firstColumn="1" w:lastColumn="0" w:noHBand="0" w:noVBand="0"/>
      </w:tblPr>
      <w:tblGrid>
        <w:gridCol w:w="2463"/>
        <w:gridCol w:w="2626"/>
        <w:gridCol w:w="4250"/>
      </w:tblGrid>
      <w:tr w:rsidR="00E602A1" w:rsidRPr="008B1EA7" w:rsidTr="00FE68B7">
        <w:tc>
          <w:tcPr>
            <w:tcW w:w="24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both"/>
              <w:rPr>
                <w:color w:val="000000"/>
                <w:sz w:val="26"/>
                <w:szCs w:val="26"/>
                <w:lang w:val="uk-UA"/>
              </w:rPr>
            </w:pPr>
            <w:r w:rsidRPr="008B1EA7">
              <w:rPr>
                <w:color w:val="000000"/>
                <w:sz w:val="26"/>
                <w:szCs w:val="26"/>
                <w:lang w:val="uk-UA"/>
              </w:rPr>
              <w:t>Рейтинг результативності (досягнення цілей під час вирішення проблеми)</w:t>
            </w:r>
          </w:p>
        </w:tc>
        <w:tc>
          <w:tcPr>
            <w:tcW w:w="26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both"/>
              <w:rPr>
                <w:color w:val="000000"/>
                <w:sz w:val="26"/>
                <w:szCs w:val="26"/>
                <w:lang w:val="uk-UA"/>
              </w:rPr>
            </w:pPr>
            <w:r w:rsidRPr="008B1EA7">
              <w:rPr>
                <w:color w:val="000000"/>
                <w:sz w:val="26"/>
                <w:szCs w:val="26"/>
                <w:lang w:val="uk-UA"/>
              </w:rPr>
              <w:t>Бал результативності (за чотирибальною системою оцінки)</w:t>
            </w:r>
          </w:p>
        </w:tc>
        <w:tc>
          <w:tcPr>
            <w:tcW w:w="42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both"/>
              <w:rPr>
                <w:color w:val="000000"/>
                <w:sz w:val="26"/>
                <w:szCs w:val="26"/>
                <w:lang w:val="uk-UA"/>
              </w:rPr>
            </w:pPr>
            <w:r w:rsidRPr="008B1EA7">
              <w:rPr>
                <w:color w:val="000000"/>
                <w:sz w:val="26"/>
                <w:szCs w:val="26"/>
                <w:lang w:val="uk-UA"/>
              </w:rPr>
              <w:t>Коментарі щодо присвоєння відповідного бала</w:t>
            </w:r>
          </w:p>
        </w:tc>
      </w:tr>
      <w:tr w:rsidR="00E602A1" w:rsidRPr="008B1EA7" w:rsidTr="00FE68B7">
        <w:tc>
          <w:tcPr>
            <w:tcW w:w="24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E66C8">
              <w:t>Альтернатива 1.</w:t>
            </w:r>
          </w:p>
        </w:tc>
        <w:tc>
          <w:tcPr>
            <w:tcW w:w="26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center"/>
              <w:rPr>
                <w:color w:val="000000"/>
                <w:sz w:val="26"/>
                <w:szCs w:val="26"/>
                <w:lang w:val="uk-UA"/>
              </w:rPr>
            </w:pPr>
            <w:r>
              <w:t>1-цілі прийняття регуляторного акта не можуть бути досягнуті (проблема продовжує існувати)</w:t>
            </w:r>
          </w:p>
        </w:tc>
        <w:tc>
          <w:tcPr>
            <w:tcW w:w="42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both"/>
              <w:rPr>
                <w:color w:val="000000"/>
                <w:sz w:val="26"/>
                <w:szCs w:val="26"/>
                <w:lang w:val="uk-UA"/>
              </w:rPr>
            </w:pPr>
            <w:r>
              <w:t>Дана альтернатива є неприйнятною через те, що не вирішуються проблемні питання(проблема залишається) та не сприяє досягненню цілей державного регулювання</w:t>
            </w:r>
          </w:p>
        </w:tc>
      </w:tr>
      <w:tr w:rsidR="00E602A1" w:rsidRPr="008B1EA7" w:rsidTr="00FE68B7">
        <w:tc>
          <w:tcPr>
            <w:tcW w:w="24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rPr>
                <w:color w:val="000000"/>
                <w:sz w:val="26"/>
                <w:szCs w:val="26"/>
                <w:lang w:val="uk-UA"/>
              </w:rPr>
            </w:pPr>
            <w:r>
              <w:t>Альтернатива 2.</w:t>
            </w:r>
          </w:p>
        </w:tc>
        <w:tc>
          <w:tcPr>
            <w:tcW w:w="262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center"/>
              <w:rPr>
                <w:color w:val="000000"/>
                <w:sz w:val="26"/>
                <w:szCs w:val="26"/>
                <w:lang w:val="uk-UA"/>
              </w:rPr>
            </w:pPr>
            <w:r>
              <w:t xml:space="preserve">4-цілі прийняття регуляторного акта, які можуть бути досягнуті повною мірою </w:t>
            </w:r>
            <w:r>
              <w:lastRenderedPageBreak/>
              <w:t>(проблема більше існувати не буде)</w:t>
            </w:r>
          </w:p>
        </w:tc>
        <w:tc>
          <w:tcPr>
            <w:tcW w:w="425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1"/>
              <w:jc w:val="both"/>
              <w:rPr>
                <w:color w:val="000000"/>
                <w:sz w:val="26"/>
                <w:szCs w:val="26"/>
                <w:lang w:val="uk-UA"/>
              </w:rPr>
            </w:pPr>
            <w:r>
              <w:lastRenderedPageBreak/>
              <w:t>Забезпечує вирішення проблеми і досягнення цілей державного регулювання в повному обсязі</w:t>
            </w:r>
          </w:p>
        </w:tc>
      </w:tr>
    </w:tbl>
    <w:p w:rsidR="00E602A1" w:rsidRPr="00100419" w:rsidRDefault="00E602A1" w:rsidP="00E602A1">
      <w:pPr>
        <w:rPr>
          <w:rFonts w:ascii="Times New Roman" w:hAnsi="Times New Roman" w:cs="Times New Roman"/>
          <w:sz w:val="26"/>
          <w:szCs w:val="26"/>
          <w:lang w:val="uk-UA"/>
        </w:rPr>
      </w:pPr>
    </w:p>
    <w:p w:rsidR="00E602A1" w:rsidRPr="008B1EA7" w:rsidRDefault="00E602A1" w:rsidP="00E602A1">
      <w:pPr>
        <w:pStyle w:val="HTML"/>
        <w:shd w:val="clear" w:color="auto" w:fill="FFFFFF"/>
        <w:ind w:left="360"/>
        <w:jc w:val="both"/>
        <w:rPr>
          <w:rFonts w:ascii="Times New Roman" w:hAnsi="Times New Roman" w:cs="Times New Roman"/>
          <w:sz w:val="26"/>
          <w:szCs w:val="26"/>
          <w:lang w:val="uk-UA"/>
        </w:rPr>
      </w:pPr>
      <w:r w:rsidRPr="008B1EA7">
        <w:rPr>
          <w:rFonts w:ascii="Times New Roman" w:hAnsi="Times New Roman" w:cs="Times New Roman"/>
          <w:sz w:val="26"/>
          <w:szCs w:val="26"/>
          <w:lang w:val="uk-UA"/>
        </w:rPr>
        <w:t>Обґрунтування</w:t>
      </w:r>
    </w:p>
    <w:p w:rsidR="00E602A1" w:rsidRPr="008B1EA7" w:rsidRDefault="00E602A1" w:rsidP="00E602A1">
      <w:pPr>
        <w:pStyle w:val="HTML"/>
        <w:shd w:val="clear" w:color="auto" w:fill="FFFFFF"/>
        <w:ind w:left="360"/>
        <w:jc w:val="both"/>
        <w:rPr>
          <w:rFonts w:ascii="Times New Roman" w:hAnsi="Times New Roman" w:cs="Times New Roman"/>
          <w:sz w:val="26"/>
          <w:szCs w:val="26"/>
          <w:lang w:val="uk-UA"/>
        </w:rPr>
      </w:pPr>
      <w:r w:rsidRPr="008B1EA7">
        <w:rPr>
          <w:rFonts w:ascii="Times New Roman" w:hAnsi="Times New Roman" w:cs="Times New Roman"/>
          <w:sz w:val="26"/>
          <w:szCs w:val="26"/>
          <w:lang w:val="uk-UA"/>
        </w:rPr>
        <w:t xml:space="preserve"> </w:t>
      </w:r>
    </w:p>
    <w:tbl>
      <w:tblPr>
        <w:tblW w:w="0" w:type="auto"/>
        <w:tblCellMar>
          <w:top w:w="15" w:type="dxa"/>
          <w:left w:w="15" w:type="dxa"/>
          <w:bottom w:w="15" w:type="dxa"/>
          <w:right w:w="15" w:type="dxa"/>
        </w:tblCellMar>
        <w:tblLook w:val="00A0" w:firstRow="1" w:lastRow="0" w:firstColumn="1" w:lastColumn="0" w:noHBand="0" w:noVBand="0"/>
      </w:tblPr>
      <w:tblGrid>
        <w:gridCol w:w="1663"/>
        <w:gridCol w:w="2758"/>
        <w:gridCol w:w="2349"/>
        <w:gridCol w:w="2569"/>
      </w:tblGrid>
      <w:tr w:rsidR="00E602A1" w:rsidRPr="008B1EA7" w:rsidTr="00FE68B7">
        <w:tc>
          <w:tcPr>
            <w:tcW w:w="16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jc w:val="both"/>
              <w:rPr>
                <w:color w:val="000000"/>
                <w:sz w:val="26"/>
                <w:szCs w:val="26"/>
                <w:lang w:val="uk-UA"/>
              </w:rPr>
            </w:pPr>
            <w:r w:rsidRPr="008B1EA7">
              <w:rPr>
                <w:color w:val="000000"/>
                <w:sz w:val="26"/>
                <w:szCs w:val="26"/>
                <w:lang w:val="uk-UA"/>
              </w:rPr>
              <w:t>Рейтинг результа-тивності</w:t>
            </w:r>
          </w:p>
        </w:tc>
        <w:tc>
          <w:tcPr>
            <w:tcW w:w="27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jc w:val="both"/>
              <w:rPr>
                <w:color w:val="000000"/>
                <w:sz w:val="26"/>
                <w:szCs w:val="26"/>
                <w:lang w:val="uk-UA"/>
              </w:rPr>
            </w:pPr>
            <w:r w:rsidRPr="008B1EA7">
              <w:rPr>
                <w:color w:val="000000"/>
                <w:sz w:val="26"/>
                <w:szCs w:val="26"/>
                <w:lang w:val="uk-UA"/>
              </w:rPr>
              <w:t>Вигоди (підсумок)</w:t>
            </w:r>
          </w:p>
        </w:tc>
        <w:tc>
          <w:tcPr>
            <w:tcW w:w="23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jc w:val="both"/>
              <w:rPr>
                <w:color w:val="000000"/>
                <w:sz w:val="26"/>
                <w:szCs w:val="26"/>
                <w:lang w:val="uk-UA"/>
              </w:rPr>
            </w:pPr>
            <w:r w:rsidRPr="008B1EA7">
              <w:rPr>
                <w:color w:val="000000"/>
                <w:sz w:val="26"/>
                <w:szCs w:val="26"/>
                <w:lang w:val="uk-UA"/>
              </w:rPr>
              <w:t>Витрати (підсумок)</w:t>
            </w:r>
          </w:p>
        </w:tc>
        <w:tc>
          <w:tcPr>
            <w:tcW w:w="256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B1EA7">
              <w:rPr>
                <w:color w:val="000000"/>
                <w:sz w:val="26"/>
                <w:szCs w:val="26"/>
                <w:lang w:val="uk-UA"/>
              </w:rPr>
              <w:t>Обґрунтування відповідного місця альтернативи у рейтингу</w:t>
            </w:r>
          </w:p>
        </w:tc>
      </w:tr>
      <w:tr w:rsidR="00E602A1" w:rsidRPr="008B1EA7" w:rsidTr="00FE68B7">
        <w:tc>
          <w:tcPr>
            <w:tcW w:w="16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E66C8">
              <w:t>Альтернатива 1.</w:t>
            </w:r>
          </w:p>
        </w:tc>
        <w:tc>
          <w:tcPr>
            <w:tcW w:w="27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jc w:val="both"/>
              <w:rPr>
                <w:color w:val="000000"/>
                <w:sz w:val="26"/>
                <w:szCs w:val="26"/>
                <w:lang w:val="uk-UA"/>
              </w:rPr>
            </w:pPr>
            <w:r>
              <w:t>Виконання вимог чинного Законодавсва без змін. Відсутні.</w:t>
            </w:r>
          </w:p>
        </w:tc>
        <w:tc>
          <w:tcPr>
            <w:tcW w:w="234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2"/>
              <w:jc w:val="both"/>
              <w:rPr>
                <w:color w:val="000000"/>
                <w:sz w:val="26"/>
                <w:szCs w:val="26"/>
                <w:lang w:val="uk-UA"/>
              </w:rPr>
            </w:pPr>
            <w:r>
              <w:t>Відсутні</w:t>
            </w:r>
          </w:p>
        </w:tc>
        <w:tc>
          <w:tcPr>
            <w:tcW w:w="2569"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p3"/>
              <w:rPr>
                <w:color w:val="000000"/>
                <w:sz w:val="26"/>
                <w:szCs w:val="26"/>
                <w:lang w:val="uk-UA"/>
              </w:rPr>
            </w:pPr>
            <w:r>
              <w:t>Дана альтернатива є останньою, оскільки вигоди відсутні</w:t>
            </w:r>
          </w:p>
        </w:tc>
      </w:tr>
      <w:tr w:rsidR="00E602A1" w:rsidRPr="00735A2D" w:rsidTr="00FE68B7">
        <w:tc>
          <w:tcPr>
            <w:tcW w:w="1663"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rPr>
                <w:color w:val="000000"/>
                <w:sz w:val="26"/>
                <w:szCs w:val="26"/>
                <w:lang w:val="uk-UA"/>
              </w:rPr>
            </w:pPr>
            <w:r>
              <w:t>Альтернатива 2.</w:t>
            </w:r>
          </w:p>
        </w:tc>
        <w:tc>
          <w:tcPr>
            <w:tcW w:w="2758"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Default="00E602A1" w:rsidP="00FE68B7">
            <w:pPr>
              <w:pStyle w:val="p2"/>
              <w:jc w:val="both"/>
            </w:pPr>
            <w:r w:rsidRPr="008E66C8">
              <w:rPr>
                <w:lang w:val="uk-UA"/>
              </w:rPr>
              <w:t xml:space="preserve">Формування гуманного та етичного ставлення до тварин; посилення виконання вимог Закону України “Про захист тварин від жорстокого поводження» та інших нормативно-правових актів з питань поводження з тваринами; підвищення відповідальності власників домашніх тварин за їх утримання. </w:t>
            </w:r>
            <w:r>
              <w:t>Здійснення нормативного врегулювання питань утримання і поводження з тваринами. Забезпечення санітарно-епізоотичного благополуччя у населених пунктах, підвищення безпеки життя та здоров’я</w:t>
            </w:r>
          </w:p>
          <w:p w:rsidR="00E602A1" w:rsidRPr="008B1EA7" w:rsidRDefault="00E602A1" w:rsidP="00FE68B7">
            <w:pPr>
              <w:pStyle w:val="p2"/>
              <w:jc w:val="both"/>
              <w:rPr>
                <w:color w:val="000000"/>
                <w:sz w:val="26"/>
                <w:szCs w:val="26"/>
                <w:lang w:val="uk-UA"/>
              </w:rPr>
            </w:pPr>
            <w:r>
              <w:t>мешканців, у зв’язку зі зменшенням кількості нападів тварин. Посилення контролю та відповідальності власників домашніх тварин за їх утримання. Підвищення рівня дотримання ветеринарносанітарних вимог власниками домашніх тварин до їх утримання.</w:t>
            </w:r>
          </w:p>
        </w:tc>
        <w:tc>
          <w:tcPr>
            <w:tcW w:w="2349"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pStyle w:val="p3"/>
              <w:spacing w:before="0" w:beforeAutospacing="0" w:after="0" w:afterAutospacing="0"/>
              <w:rPr>
                <w:color w:val="000000"/>
                <w:sz w:val="26"/>
                <w:szCs w:val="26"/>
                <w:lang w:val="uk-UA"/>
              </w:rPr>
            </w:pPr>
            <w:r w:rsidRPr="008E66C8">
              <w:rPr>
                <w:lang w:val="uk-UA"/>
              </w:rPr>
              <w:t>Витрати на проведення роз’яснювальної роботи серед мешканців сільської ради та суб’єктів господарювання , що провадять діяльність на території сільської ради.</w:t>
            </w:r>
          </w:p>
        </w:tc>
        <w:tc>
          <w:tcPr>
            <w:tcW w:w="2569"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pStyle w:val="p3"/>
              <w:rPr>
                <w:color w:val="000000"/>
                <w:sz w:val="26"/>
                <w:szCs w:val="26"/>
                <w:lang w:val="uk-UA"/>
              </w:rPr>
            </w:pPr>
            <w:r w:rsidRPr="008E66C8">
              <w:rPr>
                <w:lang w:val="uk-UA"/>
              </w:rPr>
              <w:t>Альтернатива є першою в списку, оскільки має багато вигод для суспільства, держави, а також суб’єктів господарювання; забезпечує збалансованість інтересів суб’єктів господарювання, громадян та органів місцевого самоврядування</w:t>
            </w:r>
          </w:p>
        </w:tc>
      </w:tr>
    </w:tbl>
    <w:p w:rsidR="00E602A1" w:rsidRPr="008B1EA7" w:rsidRDefault="00E602A1" w:rsidP="00E602A1">
      <w:pPr>
        <w:pStyle w:val="HTML"/>
        <w:shd w:val="clear" w:color="auto" w:fill="FFFFFF"/>
        <w:ind w:left="360"/>
        <w:jc w:val="both"/>
        <w:rPr>
          <w:rFonts w:ascii="Times New Roman" w:hAnsi="Times New Roman" w:cs="Times New Roman"/>
          <w:sz w:val="26"/>
          <w:szCs w:val="26"/>
          <w:lang w:val="uk-UA"/>
        </w:rPr>
      </w:pPr>
    </w:p>
    <w:p w:rsidR="00E602A1" w:rsidRPr="008E66C8" w:rsidRDefault="00E602A1" w:rsidP="00E602A1">
      <w:pPr>
        <w:ind w:firstLine="708"/>
        <w:rPr>
          <w:rFonts w:ascii="Times New Roman" w:hAnsi="Times New Roman" w:cs="Times New Roman"/>
          <w:sz w:val="26"/>
          <w:szCs w:val="26"/>
          <w:lang w:val="uk-UA"/>
        </w:rPr>
      </w:pPr>
      <w:r w:rsidRPr="008E66C8">
        <w:rPr>
          <w:rFonts w:ascii="Times New Roman" w:hAnsi="Times New Roman" w:cs="Times New Roman"/>
          <w:sz w:val="26"/>
          <w:szCs w:val="26"/>
          <w:lang w:val="uk-UA"/>
        </w:rPr>
        <w:t xml:space="preserve">Ризики </w:t>
      </w:r>
    </w:p>
    <w:tbl>
      <w:tblPr>
        <w:tblW w:w="0" w:type="auto"/>
        <w:tblCellMar>
          <w:top w:w="15" w:type="dxa"/>
          <w:left w:w="15" w:type="dxa"/>
          <w:bottom w:w="15" w:type="dxa"/>
          <w:right w:w="15" w:type="dxa"/>
        </w:tblCellMar>
        <w:tblLook w:val="00A0" w:firstRow="1" w:lastRow="0" w:firstColumn="1" w:lastColumn="0" w:noHBand="0" w:noVBand="0"/>
      </w:tblPr>
      <w:tblGrid>
        <w:gridCol w:w="1860"/>
        <w:gridCol w:w="3935"/>
        <w:gridCol w:w="3544"/>
      </w:tblGrid>
      <w:tr w:rsidR="00E602A1" w:rsidRPr="008B1EA7" w:rsidTr="00FE68B7">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B1EA7">
              <w:rPr>
                <w:color w:val="000000"/>
                <w:sz w:val="26"/>
                <w:szCs w:val="26"/>
                <w:lang w:val="uk-UA"/>
              </w:rPr>
              <w:t>Рейтинг</w:t>
            </w:r>
          </w:p>
        </w:tc>
        <w:tc>
          <w:tcPr>
            <w:tcW w:w="3935"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B1EA7">
              <w:rPr>
                <w:color w:val="000000"/>
                <w:sz w:val="26"/>
                <w:szCs w:val="26"/>
                <w:lang w:val="uk-UA"/>
              </w:rPr>
              <w:t>Аргументи щодо переваги обраної альтернативи/ причини відмови від альтернативи</w:t>
            </w:r>
          </w:p>
        </w:tc>
        <w:tc>
          <w:tcPr>
            <w:tcW w:w="354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B1EA7">
              <w:rPr>
                <w:color w:val="000000"/>
                <w:sz w:val="26"/>
                <w:szCs w:val="26"/>
                <w:lang w:val="uk-UA"/>
              </w:rPr>
              <w:t>Оцінка ризику зовнішніх чинників на дію запропонованого регуляторного акта</w:t>
            </w:r>
          </w:p>
        </w:tc>
      </w:tr>
      <w:tr w:rsidR="00E602A1" w:rsidRPr="008B1EA7" w:rsidTr="00FE68B7">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jc w:val="both"/>
              <w:rPr>
                <w:color w:val="000000"/>
                <w:sz w:val="26"/>
                <w:szCs w:val="26"/>
                <w:lang w:val="uk-UA"/>
              </w:rPr>
            </w:pPr>
            <w:r w:rsidRPr="008E66C8">
              <w:lastRenderedPageBreak/>
              <w:t>Альтернатива 1.</w:t>
            </w:r>
          </w:p>
        </w:tc>
        <w:tc>
          <w:tcPr>
            <w:tcW w:w="3935"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p3"/>
              <w:rPr>
                <w:color w:val="000000"/>
                <w:sz w:val="26"/>
                <w:szCs w:val="26"/>
                <w:lang w:val="uk-UA"/>
              </w:rPr>
            </w:pPr>
            <w:r>
              <w:t>Альтернатива є неприйнятною, оскільки питання утримання і поводження з тваринами на території сільської ради залишається нормативно неврегульованим. Вигоди та витрати відсутні. Проблема залишається невирішеною, а цілі державного регулювання не можуть бути досягнуті</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cPr>
          <w:p w:rsidR="00E602A1" w:rsidRPr="008B1EA7" w:rsidRDefault="00E602A1" w:rsidP="00FE68B7">
            <w:pPr>
              <w:pStyle w:val="p3"/>
              <w:rPr>
                <w:color w:val="000000"/>
                <w:sz w:val="26"/>
                <w:szCs w:val="26"/>
                <w:lang w:val="uk-UA"/>
              </w:rPr>
            </w:pPr>
            <w:r>
              <w:t>Ризик впливу зовнішніх чинників (можливі зміни в чинному законодавстві України) низький</w:t>
            </w:r>
          </w:p>
        </w:tc>
      </w:tr>
      <w:tr w:rsidR="00E602A1" w:rsidRPr="00735A2D" w:rsidTr="00FE68B7">
        <w:tc>
          <w:tcPr>
            <w:tcW w:w="186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602A1" w:rsidRPr="008B1EA7" w:rsidRDefault="00E602A1" w:rsidP="00FE68B7">
            <w:pPr>
              <w:pStyle w:val="p3"/>
              <w:rPr>
                <w:color w:val="000000"/>
                <w:sz w:val="26"/>
                <w:szCs w:val="26"/>
                <w:lang w:val="uk-UA"/>
              </w:rPr>
            </w:pPr>
            <w:r>
              <w:t>Альтернатива 2.</w:t>
            </w:r>
          </w:p>
        </w:tc>
        <w:tc>
          <w:tcPr>
            <w:tcW w:w="3935"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pStyle w:val="p3"/>
              <w:rPr>
                <w:color w:val="000000"/>
                <w:sz w:val="26"/>
                <w:szCs w:val="26"/>
                <w:lang w:val="uk-UA"/>
              </w:rPr>
            </w:pPr>
            <w:r w:rsidRPr="008E66C8">
              <w:rPr>
                <w:lang w:val="uk-UA"/>
              </w:rPr>
              <w:t>Відповідність чинному законодавству. Має ряд факторів позитивного впливу на сферу інтересів держави, громадян та суб’єктів господарювання, зокрема, нормативно врегульовується питання утримання і поводження з тваринами; забезпечується санітарно-епізоотичного благополуччя у населених пунктах, підвищення безпеки життя та здоров’я мешканців; посилюється контроль та відповідальність власників домашніх тварин за їх утримання; удосконалюються відносини, що виникають між власниками тварин та органами, що мають повноваження з тваринами; усуваються конфліктні ситуації, пов’язані з утриманням тварин. У повній мірі вирішує порушену проблему і забезпечує досягнення цілей регулювання за рахунок мінімально необхідних витрат ресурсів.</w:t>
            </w:r>
          </w:p>
        </w:tc>
        <w:tc>
          <w:tcPr>
            <w:tcW w:w="3544" w:type="dxa"/>
            <w:tcBorders>
              <w:top w:val="single" w:sz="6" w:space="0" w:color="000000"/>
              <w:left w:val="single" w:sz="6" w:space="0" w:color="000000"/>
              <w:bottom w:val="single" w:sz="6" w:space="0" w:color="000000"/>
              <w:right w:val="single" w:sz="6" w:space="0" w:color="000000"/>
            </w:tcBorders>
            <w:shd w:val="clear" w:color="auto" w:fill="FFFFFF"/>
          </w:tcPr>
          <w:p w:rsidR="00E602A1" w:rsidRPr="008E66C8" w:rsidRDefault="00E602A1" w:rsidP="00FE68B7">
            <w:pPr>
              <w:pStyle w:val="p3"/>
              <w:rPr>
                <w:color w:val="000000"/>
                <w:sz w:val="26"/>
                <w:szCs w:val="26"/>
                <w:lang w:val="uk-UA"/>
              </w:rPr>
            </w:pPr>
            <w:r w:rsidRPr="008E66C8">
              <w:rPr>
                <w:lang w:val="uk-UA"/>
              </w:rPr>
              <w:t>Ризик впливу зовнішніх чинників (можливі зміни у чинному законодавстві України, небажання власників щеплювати тварин) вище середнього</w:t>
            </w:r>
          </w:p>
        </w:tc>
      </w:tr>
    </w:tbl>
    <w:p w:rsidR="00E602A1" w:rsidRPr="008E66C8" w:rsidRDefault="00E602A1" w:rsidP="00E602A1">
      <w:pPr>
        <w:ind w:firstLine="708"/>
        <w:rPr>
          <w:rFonts w:ascii="Times New Roman" w:hAnsi="Times New Roman" w:cs="Times New Roman"/>
          <w:sz w:val="26"/>
          <w:szCs w:val="26"/>
          <w:lang w:val="uk-UA"/>
        </w:rPr>
      </w:pPr>
      <w:r w:rsidRPr="008E66C8">
        <w:rPr>
          <w:rFonts w:ascii="Times New Roman" w:hAnsi="Times New Roman" w:cs="Times New Roman"/>
          <w:sz w:val="26"/>
          <w:szCs w:val="26"/>
          <w:lang w:val="uk-UA"/>
        </w:rPr>
        <w:t>Негативних результатів від прийняття регуляторного акту не очікується.</w:t>
      </w:r>
    </w:p>
    <w:p w:rsidR="00E602A1" w:rsidRPr="008E66C8" w:rsidRDefault="00E602A1" w:rsidP="00E602A1">
      <w:pPr>
        <w:spacing w:after="0" w:line="240" w:lineRule="auto"/>
        <w:jc w:val="both"/>
        <w:rPr>
          <w:rFonts w:ascii="Times New Roman" w:hAnsi="Times New Roman" w:cs="Times New Roman"/>
          <w:b/>
          <w:bCs/>
          <w:sz w:val="26"/>
          <w:szCs w:val="26"/>
          <w:lang w:val="uk-UA"/>
        </w:rPr>
      </w:pPr>
    </w:p>
    <w:p w:rsidR="00E602A1" w:rsidRPr="004F0683" w:rsidRDefault="00E602A1" w:rsidP="00E602A1">
      <w:pPr>
        <w:spacing w:after="0" w:line="240" w:lineRule="auto"/>
        <w:jc w:val="both"/>
        <w:rPr>
          <w:rFonts w:ascii="Times New Roman" w:hAnsi="Times New Roman" w:cs="Times New Roman"/>
          <w:b/>
          <w:bCs/>
          <w:sz w:val="26"/>
          <w:szCs w:val="26"/>
        </w:rPr>
      </w:pPr>
      <w:r w:rsidRPr="004F0683">
        <w:rPr>
          <w:rFonts w:ascii="Times New Roman" w:hAnsi="Times New Roman" w:cs="Times New Roman"/>
          <w:b/>
          <w:bCs/>
          <w:sz w:val="26"/>
          <w:szCs w:val="26"/>
        </w:rPr>
        <w:t>V. Механізми та заходи, які забезпечать розв’язання визначеної проблеми</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Для досягнення поставлених цілей пропонується застосувати наступні механізми та заходи:</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 визначення прав і обов’язків  фізичних осіб – власників домашніх тварин, виконавчих органів міської ради, служб, установ, комунальних підприємств та громадських організацій у сфері поводження з домашніми тваринами на території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ради</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 виділення коштів на проведення стерилізації домашніх тварин, що належать незаможним мешканцям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ради</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розробка і впровадження системи інформаційно-просвітницьких заходів серед населення щодо виховання гуманного та відповідального ставлення до тварин, пропагування стерилізації домашніх тварин тощо;</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сприяння створенню загальної системи обліку домашніх і безпритульних тварин;</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сприяння створенню притулків для утримання як спадково безпритульних тварин, так і тварин, які мали власника, але були загублені, викинуті на вулицю, покинуті в місцях несанкціонованого продажу тощо;</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 визначення вимог щодо супроводу собак, їх вигулу та транспортування, визначення місць та зон вигулу собак на території </w:t>
      </w:r>
      <w:r>
        <w:rPr>
          <w:rFonts w:ascii="Times New Roman" w:hAnsi="Times New Roman" w:cs="Times New Roman"/>
          <w:sz w:val="26"/>
          <w:szCs w:val="26"/>
          <w:lang w:val="uk-UA"/>
        </w:rPr>
        <w:t>Сіверсько</w:t>
      </w:r>
      <w:r w:rsidRPr="004F0683">
        <w:rPr>
          <w:rFonts w:ascii="Times New Roman" w:hAnsi="Times New Roman" w:cs="Times New Roman"/>
          <w:sz w:val="26"/>
          <w:szCs w:val="26"/>
          <w:lang w:val="uk-UA"/>
        </w:rPr>
        <w:t>ї міської ради</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lastRenderedPageBreak/>
        <w:t>- здійснення контролю за виконанням вимог у сфері поводження з домашніми тваринами.</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jc w:val="center"/>
        <w:rPr>
          <w:rFonts w:ascii="Times New Roman" w:hAnsi="Times New Roman" w:cs="Times New Roman"/>
          <w:b/>
          <w:sz w:val="26"/>
          <w:szCs w:val="26"/>
        </w:rPr>
      </w:pPr>
      <w:r w:rsidRPr="004F0683">
        <w:rPr>
          <w:rFonts w:ascii="Times New Roman" w:hAnsi="Times New Roman" w:cs="Times New Roman"/>
          <w:b/>
          <w:sz w:val="26"/>
          <w:szCs w:val="26"/>
        </w:rPr>
        <w:t>VI. Оцінка виконання вимог регуляторного акту залежно від ресурсів, якими розпоряджаються органи виконавчої влади чи органи місцевого</w:t>
      </w:r>
    </w:p>
    <w:p w:rsidR="00E602A1" w:rsidRPr="004F0683" w:rsidRDefault="00E602A1" w:rsidP="00E602A1">
      <w:pPr>
        <w:spacing w:after="0" w:line="240" w:lineRule="auto"/>
        <w:jc w:val="center"/>
        <w:rPr>
          <w:rFonts w:ascii="Times New Roman" w:hAnsi="Times New Roman" w:cs="Times New Roman"/>
          <w:b/>
          <w:sz w:val="26"/>
          <w:szCs w:val="26"/>
        </w:rPr>
      </w:pPr>
      <w:r w:rsidRPr="004F0683">
        <w:rPr>
          <w:rFonts w:ascii="Times New Roman" w:hAnsi="Times New Roman" w:cs="Times New Roman"/>
          <w:b/>
          <w:sz w:val="26"/>
          <w:szCs w:val="26"/>
        </w:rPr>
        <w:t>самоврядування, фізичні та юридичні особи, які повинні проваджувати або виконувати ці вимоги</w:t>
      </w:r>
    </w:p>
    <w:p w:rsidR="00E602A1" w:rsidRPr="004F0683" w:rsidRDefault="00E602A1" w:rsidP="00E602A1">
      <w:pPr>
        <w:spacing w:after="0" w:line="240" w:lineRule="auto"/>
        <w:jc w:val="both"/>
        <w:rPr>
          <w:rFonts w:ascii="Times New Roman" w:hAnsi="Times New Roman" w:cs="Times New Roman"/>
          <w:sz w:val="26"/>
          <w:szCs w:val="26"/>
        </w:rPr>
      </w:pPr>
    </w:p>
    <w:p w:rsidR="00E602A1" w:rsidRDefault="00E602A1" w:rsidP="00E602A1">
      <w:pPr>
        <w:spacing w:after="0" w:line="240" w:lineRule="auto"/>
        <w:ind w:firstLine="708"/>
        <w:rPr>
          <w:rFonts w:ascii="Times New Roman" w:hAnsi="Times New Roman" w:cs="Times New Roman"/>
          <w:sz w:val="24"/>
        </w:rPr>
      </w:pPr>
      <w:r w:rsidRPr="006804A4">
        <w:rPr>
          <w:rFonts w:ascii="Times New Roman" w:hAnsi="Times New Roman" w:cs="Times New Roman"/>
          <w:sz w:val="24"/>
        </w:rPr>
        <w:t xml:space="preserve">Розрахунок витрат на виконання вимого регуляторного акта для </w:t>
      </w:r>
      <w:r>
        <w:rPr>
          <w:rFonts w:ascii="Times New Roman" w:hAnsi="Times New Roman" w:cs="Times New Roman"/>
          <w:sz w:val="24"/>
          <w:lang w:val="uk-UA"/>
        </w:rPr>
        <w:t>Сіверської міської</w:t>
      </w:r>
      <w:r w:rsidRPr="006804A4">
        <w:rPr>
          <w:rFonts w:ascii="Times New Roman" w:hAnsi="Times New Roman" w:cs="Times New Roman"/>
          <w:sz w:val="24"/>
        </w:rPr>
        <w:t xml:space="preserve"> ради згідно з додатком 3 до Методики проведення аналізу впливу регуляторного акта не здійснювався, оскільки здійснено розрахунок витрат на запровадження державного регулювання для суб’єктів малого підприємництва згідно з додатком 4 до Методики проведення аналізу впливу регуляторного акта (Тест малого підприємництва). </w:t>
      </w:r>
    </w:p>
    <w:p w:rsidR="00E602A1" w:rsidRPr="006804A4" w:rsidRDefault="00E602A1" w:rsidP="00E602A1">
      <w:pPr>
        <w:spacing w:after="0" w:line="240" w:lineRule="auto"/>
        <w:ind w:firstLine="708"/>
        <w:rPr>
          <w:rFonts w:ascii="Times New Roman" w:hAnsi="Times New Roman" w:cs="Times New Roman"/>
          <w:sz w:val="24"/>
        </w:rPr>
      </w:pPr>
      <w:r w:rsidRPr="006804A4">
        <w:rPr>
          <w:rFonts w:ascii="Times New Roman" w:hAnsi="Times New Roman" w:cs="Times New Roman"/>
          <w:sz w:val="24"/>
        </w:rPr>
        <w:t>М-Тест у додатку до аналізу регуляторного впливу.</w:t>
      </w:r>
    </w:p>
    <w:p w:rsidR="00E602A1" w:rsidRPr="004F0683" w:rsidRDefault="00E602A1" w:rsidP="00E602A1">
      <w:pPr>
        <w:spacing w:after="0" w:line="240" w:lineRule="auto"/>
        <w:jc w:val="both"/>
        <w:rPr>
          <w:rFonts w:ascii="Times New Roman" w:hAnsi="Times New Roman" w:cs="Times New Roman"/>
          <w:sz w:val="26"/>
          <w:szCs w:val="26"/>
          <w:lang w:val="uk-UA"/>
        </w:rPr>
      </w:pPr>
    </w:p>
    <w:p w:rsidR="00E602A1" w:rsidRPr="004F0683" w:rsidRDefault="00E602A1" w:rsidP="00E602A1">
      <w:pPr>
        <w:spacing w:after="0" w:line="240" w:lineRule="auto"/>
        <w:jc w:val="center"/>
        <w:rPr>
          <w:rFonts w:ascii="Times New Roman" w:hAnsi="Times New Roman" w:cs="Times New Roman"/>
          <w:b/>
          <w:bCs/>
          <w:sz w:val="26"/>
          <w:szCs w:val="26"/>
        </w:rPr>
      </w:pPr>
      <w:r w:rsidRPr="004F0683">
        <w:rPr>
          <w:rFonts w:ascii="Times New Roman" w:hAnsi="Times New Roman" w:cs="Times New Roman"/>
          <w:b/>
          <w:bCs/>
          <w:sz w:val="26"/>
          <w:szCs w:val="26"/>
        </w:rPr>
        <w:t>V</w:t>
      </w:r>
      <w:r w:rsidRPr="004F0683">
        <w:rPr>
          <w:rFonts w:ascii="Times New Roman" w:hAnsi="Times New Roman" w:cs="Times New Roman"/>
          <w:b/>
          <w:bCs/>
          <w:sz w:val="26"/>
          <w:szCs w:val="26"/>
          <w:lang w:val="uk-UA"/>
        </w:rPr>
        <w:t>І</w:t>
      </w:r>
      <w:r w:rsidRPr="004F0683">
        <w:rPr>
          <w:rFonts w:ascii="Times New Roman" w:hAnsi="Times New Roman" w:cs="Times New Roman"/>
          <w:b/>
          <w:bCs/>
          <w:sz w:val="26"/>
          <w:szCs w:val="26"/>
        </w:rPr>
        <w:t>І. Обґрунтування запропонованого строку дії регуляторного акта</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Строк дії цього регуляторного акту – до внесення змін до діючих або прийняття інших нормативно-правових актів у цій сфері, або отримання пропозицій щодо внесення змін та доповнень з метою забезпечення дотримання державних, громадських та приватних інтересів, що не суперечать чинному законодавству України.</w:t>
      </w: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spacing w:after="0" w:line="240" w:lineRule="auto"/>
        <w:jc w:val="center"/>
        <w:rPr>
          <w:rFonts w:ascii="Times New Roman" w:hAnsi="Times New Roman" w:cs="Times New Roman"/>
          <w:b/>
          <w:bCs/>
          <w:sz w:val="26"/>
          <w:szCs w:val="26"/>
        </w:rPr>
      </w:pPr>
      <w:r w:rsidRPr="004F0683">
        <w:rPr>
          <w:rFonts w:ascii="Times New Roman" w:hAnsi="Times New Roman" w:cs="Times New Roman"/>
          <w:b/>
          <w:bCs/>
          <w:sz w:val="26"/>
          <w:szCs w:val="26"/>
        </w:rPr>
        <w:t>VІ</w:t>
      </w:r>
      <w:r w:rsidRPr="004F0683">
        <w:rPr>
          <w:rFonts w:ascii="Times New Roman" w:hAnsi="Times New Roman" w:cs="Times New Roman"/>
          <w:b/>
          <w:bCs/>
          <w:sz w:val="26"/>
          <w:szCs w:val="26"/>
          <w:lang w:val="uk-UA"/>
        </w:rPr>
        <w:t>І</w:t>
      </w:r>
      <w:r w:rsidRPr="004F0683">
        <w:rPr>
          <w:rFonts w:ascii="Times New Roman" w:hAnsi="Times New Roman" w:cs="Times New Roman"/>
          <w:b/>
          <w:bCs/>
          <w:sz w:val="26"/>
          <w:szCs w:val="26"/>
        </w:rPr>
        <w:t>І. Визначення показників результативності дії регуляторного акта</w:t>
      </w:r>
    </w:p>
    <w:p w:rsidR="00E602A1" w:rsidRDefault="00E602A1" w:rsidP="00E602A1">
      <w:pPr>
        <w:spacing w:after="0" w:line="240" w:lineRule="auto"/>
        <w:jc w:val="both"/>
        <w:rPr>
          <w:rFonts w:ascii="Times New Roman" w:hAnsi="Times New Roman" w:cs="Times New Roman"/>
          <w:sz w:val="26"/>
          <w:szCs w:val="26"/>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8"/>
        <w:gridCol w:w="2890"/>
        <w:gridCol w:w="1846"/>
        <w:gridCol w:w="3707"/>
      </w:tblGrid>
      <w:tr w:rsidR="00E602A1" w:rsidRPr="005917F0" w:rsidTr="00FE68B7">
        <w:tc>
          <w:tcPr>
            <w:tcW w:w="908" w:type="dxa"/>
            <w:shd w:val="clear" w:color="auto" w:fill="auto"/>
          </w:tcPr>
          <w:p w:rsidR="00E602A1" w:rsidRPr="005917F0" w:rsidRDefault="00E602A1" w:rsidP="00FE68B7">
            <w:pPr>
              <w:jc w:val="center"/>
              <w:rPr>
                <w:rFonts w:ascii="Times New Roman" w:hAnsi="Times New Roman" w:cs="Times New Roman"/>
                <w:sz w:val="26"/>
                <w:szCs w:val="26"/>
                <w:lang w:val="uk-UA"/>
              </w:rPr>
            </w:pPr>
            <w:r w:rsidRPr="005917F0">
              <w:rPr>
                <w:rFonts w:ascii="Times New Roman" w:hAnsi="Times New Roman" w:cs="Times New Roman"/>
                <w:sz w:val="26"/>
                <w:szCs w:val="26"/>
                <w:lang w:val="uk-UA"/>
              </w:rPr>
              <w:t>№ з/п</w:t>
            </w:r>
          </w:p>
        </w:tc>
        <w:tc>
          <w:tcPr>
            <w:tcW w:w="2890" w:type="dxa"/>
            <w:shd w:val="clear" w:color="auto" w:fill="auto"/>
          </w:tcPr>
          <w:p w:rsidR="00E602A1" w:rsidRPr="005917F0" w:rsidRDefault="00E602A1" w:rsidP="00FE68B7">
            <w:pPr>
              <w:jc w:val="center"/>
              <w:rPr>
                <w:rFonts w:ascii="Times New Roman" w:hAnsi="Times New Roman" w:cs="Times New Roman"/>
                <w:sz w:val="26"/>
                <w:szCs w:val="26"/>
                <w:lang w:val="uk-UA"/>
              </w:rPr>
            </w:pPr>
            <w:r w:rsidRPr="005917F0">
              <w:rPr>
                <w:rFonts w:ascii="Times New Roman" w:hAnsi="Times New Roman" w:cs="Times New Roman"/>
                <w:sz w:val="26"/>
                <w:szCs w:val="26"/>
                <w:lang w:val="uk-UA"/>
              </w:rPr>
              <w:t>Показник</w:t>
            </w:r>
          </w:p>
        </w:tc>
        <w:tc>
          <w:tcPr>
            <w:tcW w:w="1846" w:type="dxa"/>
            <w:shd w:val="clear" w:color="auto" w:fill="auto"/>
          </w:tcPr>
          <w:p w:rsidR="00E602A1" w:rsidRPr="005917F0" w:rsidRDefault="00E602A1" w:rsidP="00FE68B7">
            <w:pPr>
              <w:jc w:val="center"/>
              <w:rPr>
                <w:rFonts w:ascii="Times New Roman" w:hAnsi="Times New Roman" w:cs="Times New Roman"/>
                <w:sz w:val="26"/>
                <w:szCs w:val="26"/>
                <w:lang w:val="uk-UA"/>
              </w:rPr>
            </w:pPr>
          </w:p>
        </w:tc>
        <w:tc>
          <w:tcPr>
            <w:tcW w:w="3707" w:type="dxa"/>
            <w:shd w:val="clear" w:color="auto" w:fill="auto"/>
          </w:tcPr>
          <w:p w:rsidR="00E602A1" w:rsidRPr="005917F0" w:rsidRDefault="00E602A1" w:rsidP="00FE68B7">
            <w:pPr>
              <w:jc w:val="center"/>
              <w:rPr>
                <w:rFonts w:ascii="Times New Roman" w:hAnsi="Times New Roman" w:cs="Times New Roman"/>
                <w:sz w:val="26"/>
                <w:szCs w:val="26"/>
                <w:lang w:val="uk-UA"/>
              </w:rPr>
            </w:pPr>
            <w:r w:rsidRPr="005917F0">
              <w:rPr>
                <w:rFonts w:ascii="Times New Roman" w:hAnsi="Times New Roman" w:cs="Times New Roman"/>
                <w:sz w:val="26"/>
                <w:szCs w:val="26"/>
                <w:lang w:val="uk-UA"/>
              </w:rPr>
              <w:t>Значення показника</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1</w:t>
            </w:r>
          </w:p>
        </w:tc>
        <w:tc>
          <w:tcPr>
            <w:tcW w:w="2890"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rPr>
              <w:t>Розмір додаткових надходжень до місцевого бюджету, пов’язаних з дією регуляторного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Грн.</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rPr>
              <w:t>Кількість порушень правил утримання тварин, які обчислюються відповідно до кількості протоколів про адміністративні правопорушення за ст.154 КУ пАП</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p>
        </w:tc>
        <w:tc>
          <w:tcPr>
            <w:tcW w:w="2890" w:type="dxa"/>
            <w:shd w:val="clear" w:color="auto" w:fill="auto"/>
          </w:tcPr>
          <w:p w:rsidR="00E602A1" w:rsidRPr="005917F0" w:rsidRDefault="00E602A1" w:rsidP="00FE68B7">
            <w:pPr>
              <w:rPr>
                <w:rFonts w:ascii="Times New Roman" w:hAnsi="Times New Roman" w:cs="Times New Roman"/>
                <w:sz w:val="26"/>
                <w:szCs w:val="26"/>
              </w:rPr>
            </w:pPr>
            <w:r w:rsidRPr="005917F0">
              <w:rPr>
                <w:rFonts w:ascii="Times New Roman" w:hAnsi="Times New Roman" w:cs="Times New Roman"/>
                <w:sz w:val="26"/>
                <w:szCs w:val="26"/>
              </w:rPr>
              <w:t>Кількість суб’єктів господарювання, на яких поширюється дія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 xml:space="preserve">Од. </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40</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p>
        </w:tc>
        <w:tc>
          <w:tcPr>
            <w:tcW w:w="2890" w:type="dxa"/>
            <w:shd w:val="clear" w:color="auto" w:fill="auto"/>
          </w:tcPr>
          <w:p w:rsidR="00E602A1" w:rsidRPr="005917F0" w:rsidRDefault="00E602A1" w:rsidP="00FE68B7">
            <w:pPr>
              <w:rPr>
                <w:rFonts w:ascii="Times New Roman" w:hAnsi="Times New Roman" w:cs="Times New Roman"/>
                <w:sz w:val="26"/>
                <w:szCs w:val="26"/>
              </w:rPr>
            </w:pPr>
            <w:r w:rsidRPr="005917F0">
              <w:rPr>
                <w:rFonts w:ascii="Times New Roman" w:hAnsi="Times New Roman" w:cs="Times New Roman"/>
                <w:sz w:val="26"/>
                <w:szCs w:val="26"/>
              </w:rPr>
              <w:t>Кількість фізичних осіб, на яких розповсюджується дія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осіб</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13000</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p>
        </w:tc>
        <w:tc>
          <w:tcPr>
            <w:tcW w:w="2890" w:type="dxa"/>
            <w:shd w:val="clear" w:color="auto" w:fill="auto"/>
          </w:tcPr>
          <w:p w:rsidR="00E602A1" w:rsidRPr="005917F0" w:rsidRDefault="00E602A1" w:rsidP="00FE68B7">
            <w:pPr>
              <w:rPr>
                <w:rFonts w:ascii="Times New Roman" w:hAnsi="Times New Roman" w:cs="Times New Roman"/>
                <w:sz w:val="26"/>
                <w:szCs w:val="26"/>
              </w:rPr>
            </w:pPr>
            <w:r w:rsidRPr="005917F0">
              <w:rPr>
                <w:rFonts w:ascii="Times New Roman" w:hAnsi="Times New Roman" w:cs="Times New Roman"/>
                <w:sz w:val="26"/>
                <w:szCs w:val="26"/>
              </w:rPr>
              <w:t>Розмір коштів, що витрачатимуться суб’єктами господарювання та фізичними особами, пов’язаними з виконанням вимог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Грн.</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p>
        </w:tc>
        <w:tc>
          <w:tcPr>
            <w:tcW w:w="2890" w:type="dxa"/>
            <w:shd w:val="clear" w:color="auto" w:fill="auto"/>
          </w:tcPr>
          <w:p w:rsidR="00E602A1" w:rsidRPr="005917F0" w:rsidRDefault="00E602A1" w:rsidP="00FE68B7">
            <w:pPr>
              <w:rPr>
                <w:rFonts w:ascii="Times New Roman" w:hAnsi="Times New Roman" w:cs="Times New Roman"/>
                <w:sz w:val="26"/>
                <w:szCs w:val="26"/>
              </w:rPr>
            </w:pPr>
            <w:r w:rsidRPr="005917F0">
              <w:rPr>
                <w:rFonts w:ascii="Times New Roman" w:hAnsi="Times New Roman" w:cs="Times New Roman"/>
                <w:sz w:val="26"/>
                <w:szCs w:val="26"/>
              </w:rPr>
              <w:t>Час, що витрачатиметься суб’єктами господарювання та фізичними особами, пов’язаний з виконанням вимог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Год.</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1,5 год</w:t>
            </w:r>
          </w:p>
        </w:tc>
      </w:tr>
      <w:tr w:rsidR="00E602A1" w:rsidRPr="005917F0" w:rsidTr="00FE68B7">
        <w:tc>
          <w:tcPr>
            <w:tcW w:w="908" w:type="dxa"/>
            <w:shd w:val="clear" w:color="auto" w:fill="auto"/>
          </w:tcPr>
          <w:p w:rsidR="00E602A1" w:rsidRPr="005917F0" w:rsidRDefault="00E602A1" w:rsidP="00FE68B7">
            <w:pPr>
              <w:rPr>
                <w:rFonts w:ascii="Times New Roman" w:hAnsi="Times New Roman" w:cs="Times New Roman"/>
                <w:sz w:val="26"/>
                <w:szCs w:val="26"/>
                <w:lang w:val="uk-UA"/>
              </w:rPr>
            </w:pPr>
          </w:p>
        </w:tc>
        <w:tc>
          <w:tcPr>
            <w:tcW w:w="2890" w:type="dxa"/>
            <w:shd w:val="clear" w:color="auto" w:fill="auto"/>
          </w:tcPr>
          <w:p w:rsidR="00E602A1" w:rsidRPr="005917F0" w:rsidRDefault="00E602A1" w:rsidP="00FE68B7">
            <w:pPr>
              <w:rPr>
                <w:rFonts w:ascii="Times New Roman" w:hAnsi="Times New Roman" w:cs="Times New Roman"/>
                <w:sz w:val="26"/>
                <w:szCs w:val="26"/>
              </w:rPr>
            </w:pPr>
            <w:r w:rsidRPr="005917F0">
              <w:rPr>
                <w:rFonts w:ascii="Times New Roman" w:hAnsi="Times New Roman" w:cs="Times New Roman"/>
                <w:sz w:val="26"/>
                <w:szCs w:val="26"/>
              </w:rPr>
              <w:t>Рівень поінформованості суб’єктів господарювання та фізичних осіб стосовно основних положень регуляторного акта.</w:t>
            </w:r>
          </w:p>
        </w:tc>
        <w:tc>
          <w:tcPr>
            <w:tcW w:w="1846"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w:t>
            </w:r>
          </w:p>
        </w:tc>
        <w:tc>
          <w:tcPr>
            <w:tcW w:w="3707" w:type="dxa"/>
            <w:shd w:val="clear" w:color="auto" w:fill="auto"/>
          </w:tcPr>
          <w:p w:rsidR="00E602A1" w:rsidRPr="005917F0" w:rsidRDefault="00E602A1" w:rsidP="00FE68B7">
            <w:pPr>
              <w:rPr>
                <w:rFonts w:ascii="Times New Roman" w:hAnsi="Times New Roman" w:cs="Times New Roman"/>
                <w:sz w:val="26"/>
                <w:szCs w:val="26"/>
                <w:lang w:val="uk-UA"/>
              </w:rPr>
            </w:pPr>
            <w:r w:rsidRPr="005917F0">
              <w:rPr>
                <w:rFonts w:ascii="Times New Roman" w:hAnsi="Times New Roman" w:cs="Times New Roman"/>
                <w:sz w:val="26"/>
                <w:szCs w:val="26"/>
                <w:lang w:val="uk-UA"/>
              </w:rPr>
              <w:t>100%, оприлюднюється на офіційному веб-сайті Сіверської міської ради</w:t>
            </w:r>
          </w:p>
        </w:tc>
      </w:tr>
    </w:tbl>
    <w:p w:rsidR="00E602A1" w:rsidRPr="006804A4" w:rsidRDefault="00E602A1" w:rsidP="00E602A1">
      <w:pPr>
        <w:spacing w:after="0" w:line="240" w:lineRule="auto"/>
        <w:jc w:val="both"/>
        <w:rPr>
          <w:rFonts w:ascii="Times New Roman" w:hAnsi="Times New Roman" w:cs="Times New Roman"/>
          <w:sz w:val="26"/>
          <w:szCs w:val="26"/>
          <w:lang w:val="uk-UA"/>
        </w:rPr>
      </w:pPr>
    </w:p>
    <w:p w:rsidR="00E602A1" w:rsidRPr="004F0683" w:rsidRDefault="00E602A1" w:rsidP="00E602A1">
      <w:pPr>
        <w:jc w:val="center"/>
        <w:rPr>
          <w:rFonts w:ascii="Times New Roman" w:hAnsi="Times New Roman" w:cs="Times New Roman"/>
          <w:sz w:val="26"/>
          <w:szCs w:val="26"/>
        </w:rPr>
      </w:pPr>
      <w:r w:rsidRPr="004F0683">
        <w:rPr>
          <w:rFonts w:ascii="Times New Roman" w:hAnsi="Times New Roman" w:cs="Times New Roman"/>
          <w:b/>
          <w:sz w:val="26"/>
          <w:szCs w:val="26"/>
        </w:rPr>
        <w:t>IX. Визначення заходів, за допомогою яких здійснюватиметься відстеження результативності дії регуляторного акта</w:t>
      </w:r>
      <w:r w:rsidRPr="004F0683">
        <w:rPr>
          <w:rFonts w:ascii="Times New Roman" w:hAnsi="Times New Roman" w:cs="Times New Roman"/>
          <w:sz w:val="26"/>
          <w:szCs w:val="26"/>
        </w:rPr>
        <w:t xml:space="preserve"> </w:t>
      </w: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Базове відстеження результативності дії регуляторного акта пропонується проводити щороку станом на 1 липня, повторне відстеження – щороку станом на 31 грудня.</w:t>
      </w:r>
    </w:p>
    <w:p w:rsidR="00E602A1" w:rsidRPr="004F0683" w:rsidRDefault="00E602A1" w:rsidP="00E602A1">
      <w:pPr>
        <w:spacing w:after="0" w:line="240" w:lineRule="auto"/>
        <w:ind w:firstLine="567"/>
        <w:jc w:val="both"/>
        <w:rPr>
          <w:rFonts w:ascii="Times New Roman" w:hAnsi="Times New Roman" w:cs="Times New Roman"/>
          <w:sz w:val="26"/>
          <w:szCs w:val="26"/>
        </w:rPr>
      </w:pPr>
      <w:r w:rsidRPr="004F0683">
        <w:rPr>
          <w:rFonts w:ascii="Times New Roman" w:hAnsi="Times New Roman" w:cs="Times New Roman"/>
          <w:sz w:val="26"/>
          <w:szCs w:val="26"/>
        </w:rPr>
        <w:t>Методи відстеження результативності дії регуляторного акта – статистичний:</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xml:space="preserve">- на підставі даних про кількість скарг від мешканців </w:t>
      </w:r>
      <w:r w:rsidRPr="004F0683">
        <w:rPr>
          <w:rFonts w:ascii="Times New Roman" w:hAnsi="Times New Roman" w:cs="Times New Roman"/>
          <w:sz w:val="26"/>
          <w:szCs w:val="26"/>
          <w:lang w:val="uk-UA"/>
        </w:rPr>
        <w:t xml:space="preserve">населених пунктів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ради</w:t>
      </w:r>
      <w:r w:rsidRPr="004F0683">
        <w:rPr>
          <w:rFonts w:ascii="Times New Roman" w:hAnsi="Times New Roman" w:cs="Times New Roman"/>
          <w:sz w:val="26"/>
          <w:szCs w:val="26"/>
        </w:rPr>
        <w:t xml:space="preserve"> у сфері поводження з тваринами та додержання</w:t>
      </w:r>
      <w:r w:rsidRPr="004F0683">
        <w:rPr>
          <w:rFonts w:ascii="Times New Roman" w:hAnsi="Times New Roman" w:cs="Times New Roman"/>
          <w:sz w:val="26"/>
          <w:szCs w:val="26"/>
          <w:lang w:val="uk-UA"/>
        </w:rPr>
        <w:t xml:space="preserve"> Правил благоустрою, забезпечення чистоти та порядку утримання територій </w:t>
      </w:r>
      <w:r>
        <w:rPr>
          <w:rFonts w:ascii="Times New Roman" w:hAnsi="Times New Roman" w:cs="Times New Roman"/>
          <w:sz w:val="26"/>
          <w:szCs w:val="26"/>
          <w:lang w:val="uk-UA"/>
        </w:rPr>
        <w:t>сіверської міської ради</w:t>
      </w:r>
      <w:r w:rsidRPr="004F0683">
        <w:rPr>
          <w:rFonts w:ascii="Times New Roman" w:hAnsi="Times New Roman" w:cs="Times New Roman"/>
          <w:sz w:val="26"/>
          <w:szCs w:val="26"/>
        </w:rPr>
        <w:t xml:space="preserve">, що надійшли до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w:t>
      </w:r>
      <w:r w:rsidRPr="004F0683">
        <w:rPr>
          <w:rFonts w:ascii="Times New Roman" w:hAnsi="Times New Roman" w:cs="Times New Roman"/>
          <w:sz w:val="26"/>
          <w:szCs w:val="26"/>
        </w:rPr>
        <w:t>міської ради</w:t>
      </w:r>
      <w:r w:rsidRPr="004F0683">
        <w:rPr>
          <w:rFonts w:ascii="Times New Roman" w:hAnsi="Times New Roman" w:cs="Times New Roman"/>
          <w:sz w:val="26"/>
          <w:szCs w:val="26"/>
          <w:lang w:val="uk-UA"/>
        </w:rPr>
        <w:t xml:space="preserve"> та її виконавчих органів</w:t>
      </w:r>
      <w:r w:rsidRPr="004F0683">
        <w:rPr>
          <w:rFonts w:ascii="Times New Roman" w:hAnsi="Times New Roman" w:cs="Times New Roman"/>
          <w:sz w:val="26"/>
          <w:szCs w:val="26"/>
        </w:rPr>
        <w:t>;</w:t>
      </w:r>
    </w:p>
    <w:p w:rsidR="00E602A1" w:rsidRPr="004F0683" w:rsidRDefault="00E602A1" w:rsidP="00E602A1">
      <w:pPr>
        <w:spacing w:after="0" w:line="240" w:lineRule="auto"/>
        <w:jc w:val="both"/>
        <w:rPr>
          <w:rFonts w:ascii="Times New Roman" w:hAnsi="Times New Roman" w:cs="Times New Roman"/>
          <w:sz w:val="26"/>
          <w:szCs w:val="26"/>
        </w:rPr>
      </w:pPr>
      <w:r w:rsidRPr="004F0683">
        <w:rPr>
          <w:rFonts w:ascii="Times New Roman" w:hAnsi="Times New Roman" w:cs="Times New Roman"/>
          <w:sz w:val="26"/>
          <w:szCs w:val="26"/>
        </w:rPr>
        <w:t>- на підставі даних про кількість проведених комунальними закладами охорони здоров’я щеплень населення від сказу;</w:t>
      </w:r>
    </w:p>
    <w:p w:rsidR="00E602A1" w:rsidRDefault="00E602A1" w:rsidP="00E602A1">
      <w:pPr>
        <w:spacing w:after="0" w:line="240" w:lineRule="auto"/>
        <w:jc w:val="both"/>
        <w:rPr>
          <w:rFonts w:ascii="Times New Roman" w:hAnsi="Times New Roman" w:cs="Times New Roman"/>
          <w:sz w:val="26"/>
          <w:szCs w:val="26"/>
          <w:lang w:val="uk-UA"/>
        </w:rPr>
      </w:pPr>
      <w:r w:rsidRPr="004F0683">
        <w:rPr>
          <w:rFonts w:ascii="Times New Roman" w:hAnsi="Times New Roman" w:cs="Times New Roman"/>
          <w:sz w:val="26"/>
          <w:szCs w:val="26"/>
        </w:rPr>
        <w:t xml:space="preserve">- на підставі даних про кількість проведених установами ветеринарної медицини протиепізоотичних заходів </w:t>
      </w:r>
      <w:r w:rsidRPr="004F0683">
        <w:rPr>
          <w:rFonts w:ascii="Times New Roman" w:hAnsi="Times New Roman" w:cs="Times New Roman"/>
          <w:sz w:val="26"/>
          <w:szCs w:val="26"/>
          <w:lang w:val="uk-UA"/>
        </w:rPr>
        <w:t xml:space="preserve">на території </w:t>
      </w:r>
      <w:r>
        <w:rPr>
          <w:rFonts w:ascii="Times New Roman" w:hAnsi="Times New Roman" w:cs="Times New Roman"/>
          <w:sz w:val="26"/>
          <w:szCs w:val="26"/>
          <w:lang w:val="uk-UA"/>
        </w:rPr>
        <w:t>Сіверської</w:t>
      </w:r>
      <w:r w:rsidRPr="004F0683">
        <w:rPr>
          <w:rFonts w:ascii="Times New Roman" w:hAnsi="Times New Roman" w:cs="Times New Roman"/>
          <w:sz w:val="26"/>
          <w:szCs w:val="26"/>
          <w:lang w:val="uk-UA"/>
        </w:rPr>
        <w:t xml:space="preserve"> міської ради</w:t>
      </w:r>
      <w:r>
        <w:rPr>
          <w:rFonts w:ascii="Times New Roman" w:hAnsi="Times New Roman" w:cs="Times New Roman"/>
          <w:sz w:val="26"/>
          <w:szCs w:val="26"/>
          <w:lang w:val="uk-UA"/>
        </w:rPr>
        <w:t>.</w:t>
      </w:r>
    </w:p>
    <w:p w:rsidR="00E602A1" w:rsidRDefault="00E602A1" w:rsidP="00E602A1">
      <w:pPr>
        <w:spacing w:after="0" w:line="240" w:lineRule="auto"/>
        <w:jc w:val="both"/>
        <w:rPr>
          <w:rFonts w:ascii="Times New Roman" w:hAnsi="Times New Roman" w:cs="Times New Roman"/>
          <w:sz w:val="26"/>
          <w:szCs w:val="26"/>
          <w:lang w:val="uk-UA"/>
        </w:rPr>
      </w:pPr>
    </w:p>
    <w:p w:rsidR="00E602A1" w:rsidRDefault="00E602A1" w:rsidP="00E602A1">
      <w:pPr>
        <w:spacing w:after="0" w:line="240" w:lineRule="auto"/>
        <w:jc w:val="both"/>
        <w:rPr>
          <w:rFonts w:ascii="Times New Roman" w:hAnsi="Times New Roman" w:cs="Times New Roman"/>
          <w:sz w:val="26"/>
          <w:szCs w:val="26"/>
          <w:lang w:val="uk-UA"/>
        </w:rPr>
      </w:pPr>
    </w:p>
    <w:p w:rsidR="00E602A1" w:rsidRPr="00AC2DA6" w:rsidRDefault="00E602A1" w:rsidP="00E602A1">
      <w:pPr>
        <w:spacing w:after="0" w:line="240" w:lineRule="auto"/>
        <w:jc w:val="both"/>
        <w:rPr>
          <w:rFonts w:ascii="Times New Roman" w:hAnsi="Times New Roman" w:cs="Times New Roman"/>
          <w:sz w:val="26"/>
          <w:szCs w:val="26"/>
          <w:lang w:val="uk-UA"/>
        </w:rPr>
      </w:pPr>
    </w:p>
    <w:p w:rsidR="00E602A1" w:rsidRPr="004F0683" w:rsidRDefault="00E602A1" w:rsidP="00E602A1">
      <w:pPr>
        <w:spacing w:after="0" w:line="240" w:lineRule="auto"/>
        <w:jc w:val="both"/>
        <w:rPr>
          <w:rFonts w:ascii="Times New Roman" w:hAnsi="Times New Roman" w:cs="Times New Roman"/>
          <w:sz w:val="26"/>
          <w:szCs w:val="26"/>
        </w:rPr>
      </w:pPr>
    </w:p>
    <w:p w:rsidR="00E602A1" w:rsidRPr="004F0683" w:rsidRDefault="00E602A1" w:rsidP="00E602A1">
      <w:pPr>
        <w:rPr>
          <w:rFonts w:ascii="Times New Roman" w:hAnsi="Times New Roman" w:cs="Times New Roman"/>
          <w:sz w:val="26"/>
          <w:szCs w:val="26"/>
        </w:rPr>
      </w:pPr>
    </w:p>
    <w:p w:rsidR="00E602A1" w:rsidRPr="004F0683" w:rsidRDefault="00E602A1" w:rsidP="00E602A1">
      <w:pPr>
        <w:rPr>
          <w:rFonts w:ascii="Times New Roman" w:hAnsi="Times New Roman" w:cs="Times New Roman"/>
          <w:b/>
          <w:sz w:val="26"/>
          <w:szCs w:val="26"/>
          <w:lang w:val="uk-UA"/>
        </w:rPr>
      </w:pPr>
      <w:r w:rsidRPr="004F0683">
        <w:rPr>
          <w:rFonts w:ascii="Times New Roman" w:hAnsi="Times New Roman" w:cs="Times New Roman"/>
          <w:b/>
          <w:sz w:val="26"/>
          <w:szCs w:val="26"/>
        </w:rPr>
        <w:t>Начальник</w:t>
      </w:r>
      <w:r w:rsidRPr="004F0683">
        <w:rPr>
          <w:rFonts w:ascii="Times New Roman" w:hAnsi="Times New Roman" w:cs="Times New Roman"/>
          <w:b/>
          <w:sz w:val="26"/>
          <w:szCs w:val="26"/>
          <w:lang w:val="uk-UA"/>
        </w:rPr>
        <w:t xml:space="preserve"> відділу ЖКГ                                                   Наталя ВОРОНІНА</w:t>
      </w:r>
    </w:p>
    <w:p w:rsidR="00E602A1" w:rsidRPr="004F0683" w:rsidRDefault="00E602A1" w:rsidP="00E602A1">
      <w:pPr>
        <w:rPr>
          <w:rFonts w:ascii="Times New Roman" w:hAnsi="Times New Roman" w:cs="Times New Roman"/>
          <w:sz w:val="26"/>
          <w:szCs w:val="26"/>
          <w:lang w:val="uk-UA"/>
        </w:rPr>
      </w:pPr>
    </w:p>
    <w:p w:rsidR="00E602A1" w:rsidRPr="004F0683" w:rsidRDefault="00E602A1" w:rsidP="00E602A1">
      <w:pPr>
        <w:spacing w:after="0" w:line="240" w:lineRule="auto"/>
        <w:jc w:val="both"/>
        <w:rPr>
          <w:rFonts w:ascii="Times New Roman" w:hAnsi="Times New Roman" w:cs="Times New Roman"/>
          <w:sz w:val="26"/>
          <w:szCs w:val="26"/>
          <w:lang w:val="uk-UA"/>
        </w:rPr>
      </w:pPr>
    </w:p>
    <w:p w:rsidR="000B1024" w:rsidRDefault="000B1024">
      <w:bookmarkStart w:id="0" w:name="_GoBack"/>
      <w:bookmarkEnd w:id="0"/>
    </w:p>
    <w:sectPr w:rsidR="000B1024" w:rsidSect="008E66C8">
      <w:pgSz w:w="11906" w:h="16838"/>
      <w:pgMar w:top="567"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2A1"/>
    <w:rsid w:val="000B1024"/>
    <w:rsid w:val="00E60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A25A50-20A4-4A98-998A-A0DEC2908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2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E6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E602A1"/>
    <w:rPr>
      <w:rFonts w:ascii="Courier New" w:eastAsia="Times New Roman" w:hAnsi="Courier New" w:cs="Courier New"/>
      <w:sz w:val="20"/>
      <w:szCs w:val="20"/>
      <w:lang w:eastAsia="ru-RU"/>
    </w:rPr>
  </w:style>
  <w:style w:type="paragraph" w:customStyle="1" w:styleId="p1">
    <w:name w:val="p1"/>
    <w:basedOn w:val="a"/>
    <w:rsid w:val="00E602A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5">
    <w:name w:val="p5"/>
    <w:basedOn w:val="a"/>
    <w:rsid w:val="00E602A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Default">
    <w:name w:val="Default"/>
    <w:rsid w:val="00E602A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p2">
    <w:name w:val="p2"/>
    <w:basedOn w:val="a"/>
    <w:rsid w:val="00E602A1"/>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3">
    <w:name w:val="p3"/>
    <w:basedOn w:val="a"/>
    <w:rsid w:val="00E602A1"/>
    <w:pPr>
      <w:spacing w:before="100" w:beforeAutospacing="1" w:after="100" w:afterAutospacing="1" w:line="240" w:lineRule="auto"/>
    </w:pPr>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2562</Words>
  <Characters>14607</Characters>
  <Application>Microsoft Office Word</Application>
  <DocSecurity>0</DocSecurity>
  <Lines>121</Lines>
  <Paragraphs>34</Paragraphs>
  <ScaleCrop>false</ScaleCrop>
  <Company/>
  <LinksUpToDate>false</LinksUpToDate>
  <CharactersWithSpaces>17135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ddddd</dc:creator>
  <cp:keywords/>
  <dc:description/>
  <cp:lastModifiedBy>ddddd</cp:lastModifiedBy>
  <cp:revision>1</cp:revision>
  <dcterms:created xsi:type="dcterms:W3CDTF">2021-04-08T12:20:00Z</dcterms:created>
  <dcterms:modified xsi:type="dcterms:W3CDTF">2021-04-08T12:21:00Z</dcterms:modified>
</cp:coreProperties>
</file>