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2F7" w:rsidRDefault="00EA02F7" w:rsidP="00EA02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Проєкт  № 21</w:t>
      </w:r>
    </w:p>
    <w:p w:rsidR="00EA02F7" w:rsidRDefault="00EA02F7" w:rsidP="00EA02F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C1487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Назва проекту</w:t>
      </w:r>
      <w:r w:rsidRPr="00C1487E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: Створення </w:t>
      </w:r>
      <w:proofErr w:type="spellStart"/>
      <w:r w:rsidRPr="00C1487E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ландшафтно</w:t>
      </w:r>
      <w:proofErr w:type="spellEnd"/>
      <w:r w:rsidRPr="00C1487E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 xml:space="preserve">-паркової зони відпочинку. </w:t>
      </w: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C1487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Адреса:    </w:t>
      </w:r>
      <w:proofErr w:type="spellStart"/>
      <w:r w:rsidRPr="00C1487E">
        <w:rPr>
          <w:rFonts w:ascii="Times New Roman" w:hAnsi="Times New Roman"/>
          <w:color w:val="000000"/>
          <w:sz w:val="24"/>
          <w:szCs w:val="24"/>
          <w:lang w:val="uk-UA" w:eastAsia="ru-RU"/>
        </w:rPr>
        <w:t>м.Сіверськ</w:t>
      </w:r>
      <w:proofErr w:type="spellEnd"/>
      <w:r w:rsidRPr="00C1487E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, </w:t>
      </w:r>
      <w:r w:rsidRPr="00C1487E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вул. </w:t>
      </w:r>
      <w:proofErr w:type="spellStart"/>
      <w:r w:rsidRPr="00C1487E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Доломітників</w:t>
      </w:r>
      <w:proofErr w:type="spellEnd"/>
      <w:r w:rsidRPr="00C1487E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19</w:t>
      </w: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EA02F7" w:rsidRPr="00C1487E" w:rsidRDefault="00EA02F7" w:rsidP="00EA02F7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C1487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Опис проекту: </w:t>
      </w:r>
    </w:p>
    <w:p w:rsidR="00EA02F7" w:rsidRPr="00C1487E" w:rsidRDefault="00EA02F7" w:rsidP="00EA02F7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EA02F7" w:rsidRPr="00C1487E" w:rsidRDefault="00EA02F7" w:rsidP="00EA02F7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</w:pPr>
      <w:r w:rsidRPr="00C1487E"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 xml:space="preserve"> Основна мета- це продовження благоустрою дитячого майданчика шляхом утворення зони для пасивного відпочинку. Планується розчищення території від чагарників та сміття, створення «альпійської </w:t>
      </w:r>
      <w:proofErr w:type="spellStart"/>
      <w:r w:rsidRPr="00C1487E"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>горки</w:t>
      </w:r>
      <w:proofErr w:type="spellEnd"/>
      <w:r w:rsidRPr="00C1487E">
        <w:rPr>
          <w:rFonts w:ascii="Times New Roman" w:hAnsi="Times New Roman"/>
          <w:iCs/>
          <w:color w:val="000000"/>
          <w:sz w:val="24"/>
          <w:szCs w:val="24"/>
          <w:lang w:val="uk-UA" w:eastAsia="ru-RU"/>
        </w:rPr>
        <w:t>», встановлення лавочок та двох бесідок. Посадка декоративних рослин. Встановлення камери відеоспостереження та автономного освітлення.</w:t>
      </w: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C1487E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C1487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C1487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C1487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проекту :</w:t>
      </w: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C148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Створеною зоною відпочинку зможуть скористатися не лише і мешканці нашої ОТГ, а і гості нашого міста які приїжджають у справах, оскільки локація розташована в кроковій доступності від таких соціальних об’єктів, як </w:t>
      </w:r>
      <w:proofErr w:type="spellStart"/>
      <w:r w:rsidRPr="00C148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Інклюзивно</w:t>
      </w:r>
      <w:proofErr w:type="spellEnd"/>
      <w:r w:rsidRPr="00C148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-ресурсний центр, школа, аптеки, центральний ринок.</w:t>
      </w: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EA02F7" w:rsidRPr="00C1487E" w:rsidRDefault="00EA02F7" w:rsidP="00EA02F7">
      <w:pPr>
        <w:tabs>
          <w:tab w:val="left" w:pos="500"/>
        </w:tabs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</w:p>
    <w:p w:rsidR="00EA02F7" w:rsidRPr="00C1487E" w:rsidRDefault="00EA02F7" w:rsidP="00EA02F7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C1487E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  <w:r w:rsidRPr="00C1487E">
        <w:rPr>
          <w:rFonts w:ascii="Times New Roman" w:hAnsi="Times New Roman"/>
          <w:color w:val="000000"/>
          <w:sz w:val="24"/>
          <w:szCs w:val="24"/>
          <w:lang w:val="uk-UA" w:eastAsia="ru-RU"/>
        </w:rPr>
        <w:t>:</w:t>
      </w:r>
    </w:p>
    <w:p w:rsidR="00EA02F7" w:rsidRPr="00C1487E" w:rsidRDefault="00EA02F7" w:rsidP="00EA02F7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7"/>
        <w:gridCol w:w="3468"/>
      </w:tblGrid>
      <w:tr w:rsidR="00EA02F7" w:rsidRPr="00C1487E" w:rsidTr="004140ED">
        <w:tc>
          <w:tcPr>
            <w:tcW w:w="6204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650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</w:t>
            </w:r>
          </w:p>
        </w:tc>
      </w:tr>
      <w:tr w:rsidR="00EA02F7" w:rsidRPr="00C1487E" w:rsidTr="004140ED">
        <w:tc>
          <w:tcPr>
            <w:tcW w:w="6204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1.Бесідка «Альтанка»                               1 </w:t>
            </w:r>
            <w:proofErr w:type="spellStart"/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</w:p>
        </w:tc>
        <w:tc>
          <w:tcPr>
            <w:tcW w:w="3650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10000</w:t>
            </w:r>
          </w:p>
        </w:tc>
      </w:tr>
      <w:tr w:rsidR="00EA02F7" w:rsidRPr="00C1487E" w:rsidTr="004140ED">
        <w:tc>
          <w:tcPr>
            <w:tcW w:w="6204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2. Світильник вуличній автономний      3 </w:t>
            </w:r>
            <w:proofErr w:type="spellStart"/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</w:p>
        </w:tc>
        <w:tc>
          <w:tcPr>
            <w:tcW w:w="3650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12000</w:t>
            </w:r>
          </w:p>
        </w:tc>
      </w:tr>
      <w:tr w:rsidR="00EA02F7" w:rsidRPr="00C1487E" w:rsidTr="004140ED">
        <w:tc>
          <w:tcPr>
            <w:tcW w:w="6204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3. Камера відеоспостереження                1 </w:t>
            </w:r>
            <w:proofErr w:type="spellStart"/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</w:p>
        </w:tc>
        <w:tc>
          <w:tcPr>
            <w:tcW w:w="3650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4000</w:t>
            </w:r>
          </w:p>
        </w:tc>
      </w:tr>
      <w:tr w:rsidR="00EA02F7" w:rsidRPr="00C1487E" w:rsidTr="004140ED">
        <w:tc>
          <w:tcPr>
            <w:tcW w:w="6204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4. Декоративні рослини</w:t>
            </w:r>
          </w:p>
        </w:tc>
        <w:tc>
          <w:tcPr>
            <w:tcW w:w="3650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3000</w:t>
            </w:r>
          </w:p>
        </w:tc>
      </w:tr>
      <w:tr w:rsidR="00EA02F7" w:rsidRPr="00C1487E" w:rsidTr="004140ED">
        <w:tc>
          <w:tcPr>
            <w:tcW w:w="6204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5. Послуги трактора </w:t>
            </w:r>
          </w:p>
        </w:tc>
        <w:tc>
          <w:tcPr>
            <w:tcW w:w="3650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3000</w:t>
            </w:r>
          </w:p>
        </w:tc>
      </w:tr>
      <w:tr w:rsidR="00EA02F7" w:rsidRPr="00C1487E" w:rsidTr="004140ED">
        <w:tc>
          <w:tcPr>
            <w:tcW w:w="6204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6. Послуги вантажної </w:t>
            </w:r>
            <w:proofErr w:type="spellStart"/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автівки</w:t>
            </w:r>
            <w:proofErr w:type="spellEnd"/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3650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3000</w:t>
            </w:r>
          </w:p>
        </w:tc>
      </w:tr>
      <w:tr w:rsidR="00EA02F7" w:rsidRPr="00C1487E" w:rsidTr="004140ED">
        <w:tc>
          <w:tcPr>
            <w:tcW w:w="6204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7. Послуги автовишки</w:t>
            </w:r>
          </w:p>
        </w:tc>
        <w:tc>
          <w:tcPr>
            <w:tcW w:w="3650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1000</w:t>
            </w:r>
          </w:p>
        </w:tc>
      </w:tr>
      <w:tr w:rsidR="00EA02F7" w:rsidRPr="00C1487E" w:rsidTr="004140ED">
        <w:tc>
          <w:tcPr>
            <w:tcW w:w="6204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8. Лавка паркова                                         4 </w:t>
            </w:r>
            <w:proofErr w:type="spellStart"/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шт</w:t>
            </w:r>
            <w:proofErr w:type="spellEnd"/>
          </w:p>
        </w:tc>
        <w:tc>
          <w:tcPr>
            <w:tcW w:w="3650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9000</w:t>
            </w:r>
          </w:p>
        </w:tc>
      </w:tr>
      <w:tr w:rsidR="00EA02F7" w:rsidRPr="00C1487E" w:rsidTr="004140ED">
        <w:tc>
          <w:tcPr>
            <w:tcW w:w="6204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                                                                            Разом:</w:t>
            </w:r>
          </w:p>
        </w:tc>
        <w:tc>
          <w:tcPr>
            <w:tcW w:w="3650" w:type="dxa"/>
          </w:tcPr>
          <w:p w:rsidR="00EA02F7" w:rsidRPr="00C1487E" w:rsidRDefault="00EA02F7" w:rsidP="004140ED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487E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45000</w:t>
            </w:r>
          </w:p>
        </w:tc>
      </w:tr>
    </w:tbl>
    <w:p w:rsidR="00965FDE" w:rsidRDefault="00EA02F7"/>
    <w:sectPr w:rsidR="00965FDE" w:rsidSect="00EA02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2F7"/>
    <w:rsid w:val="002D561E"/>
    <w:rsid w:val="005B34F9"/>
    <w:rsid w:val="00EA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DFDDA3-A514-4008-8CF3-DC9E961B9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1169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2021-03-12T07:33:00Z</dcterms:created>
  <dcterms:modified xsi:type="dcterms:W3CDTF">2021-03-12T07:33:00Z</dcterms:modified>
</cp:coreProperties>
</file>