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D6734" w14:textId="77777777" w:rsidR="00AA3D5D" w:rsidRPr="00337E76" w:rsidRDefault="00AA3D5D" w:rsidP="00AA3D5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95D2037" w14:textId="77777777" w:rsidR="00AA3D5D" w:rsidRDefault="00AA3D5D" w:rsidP="00AA3D5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Проєкт  № 18</w:t>
      </w:r>
    </w:p>
    <w:p w14:paraId="14A9AE28" w14:textId="3E443C5E" w:rsidR="00AA3D5D" w:rsidRPr="008709EE" w:rsidRDefault="00AA3D5D" w:rsidP="00AA3D5D">
      <w:pPr>
        <w:tabs>
          <w:tab w:val="left" w:pos="50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8709E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8709EE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:</w:t>
      </w:r>
      <w:r w:rsidRPr="008709E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="00E71687">
        <w:rPr>
          <w:rFonts w:ascii="Times New Roman" w:hAnsi="Times New Roman"/>
          <w:color w:val="000000"/>
          <w:sz w:val="24"/>
          <w:szCs w:val="24"/>
          <w:lang w:val="uk-UA" w:eastAsia="ru-RU"/>
        </w:rPr>
        <w:t>Простір розвитку інклюзивного дозвілля</w:t>
      </w:r>
      <w:r w:rsidRPr="008709E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</w:t>
      </w:r>
    </w:p>
    <w:p w14:paraId="4C8AF5A5" w14:textId="77777777" w:rsidR="00AA3D5D" w:rsidRPr="008709EE" w:rsidRDefault="00AA3D5D" w:rsidP="00AA3D5D">
      <w:pPr>
        <w:tabs>
          <w:tab w:val="left" w:pos="50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14:paraId="09FE8EDD" w14:textId="77777777" w:rsidR="00AA3D5D" w:rsidRDefault="00AA3D5D" w:rsidP="00AA3D5D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8709E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Адреса: </w:t>
      </w:r>
      <w:r w:rsidRPr="008709EE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 Донецька область, Бахмутський район, м. Сіверськ, вул. Садова, 40.</w:t>
      </w:r>
    </w:p>
    <w:p w14:paraId="05BB788C" w14:textId="77777777" w:rsidR="00AA3D5D" w:rsidRPr="008709EE" w:rsidRDefault="00AA3D5D" w:rsidP="00AA3D5D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14:paraId="040C588C" w14:textId="77777777" w:rsidR="00AA3D5D" w:rsidRPr="0064059B" w:rsidRDefault="00AA3D5D" w:rsidP="00AA3D5D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proofErr w:type="spellStart"/>
      <w:r w:rsidRPr="006405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Опис</w:t>
      </w:r>
      <w:proofErr w:type="spellEnd"/>
      <w:r w:rsidRPr="006405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проекту </w:t>
      </w:r>
    </w:p>
    <w:p w14:paraId="68ADA37C" w14:textId="77777777" w:rsidR="00AA3D5D" w:rsidRPr="0064059B" w:rsidRDefault="00AA3D5D" w:rsidP="00AA3D5D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Перетворити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територію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бібліотеки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дітей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в платформу яка буде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привабливою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цікавою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корисною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не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лише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молоді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але й для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всіх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жителів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Сіверської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ОТГ та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прилеглих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населених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пунктів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враховуючи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маломобільні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групи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Сприяти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залученню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більшої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кількості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молоді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в заходах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організованих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книгозбірнею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 поза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її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межами. Прилегла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територія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з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зеленими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насадженнями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самовільно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використовується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всіма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бажаючими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приватними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автовласниками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під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паркування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в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денний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нічний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час.</w:t>
      </w:r>
    </w:p>
    <w:p w14:paraId="6865C7D4" w14:textId="77777777" w:rsidR="00AA3D5D" w:rsidRPr="0064059B" w:rsidRDefault="00AA3D5D" w:rsidP="00AA3D5D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Постійний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рух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автомобілів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приводить до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локалізації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великої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кількісті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небезпечних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вихлопних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газів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,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створює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небезпеку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життя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у тому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числі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підлітків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людей з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інвалідністю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мешканців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прилеглих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домів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пересічних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громадян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.</w:t>
      </w:r>
    </w:p>
    <w:p w14:paraId="23AFEC8E" w14:textId="77777777" w:rsidR="00AA3D5D" w:rsidRPr="0064059B" w:rsidRDefault="00AA3D5D" w:rsidP="00AA3D5D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ab/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Данна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платформа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має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буде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виконувати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роль простору для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залучення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громади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до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неформальної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освіти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проведення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соціальних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культурних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заходів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громадських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обговорень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якісного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проведення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дозвілля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Організація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місць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відпочинку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 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Встановлення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вуличних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ліхтарів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Створення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та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підтримка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комфортабельного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мікроклімату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формування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зеленими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насадженнями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оптимального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гідротермічного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режиму й газового складу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повітря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)</w:t>
      </w:r>
      <w:r w:rsidRPr="0064059B">
        <w:rPr>
          <w:sz w:val="24"/>
          <w:szCs w:val="24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висадити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на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прилеглий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до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бібліотеки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території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певну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кількість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багаторічних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рослин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кущів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квіткових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рослин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) з </w:t>
      </w:r>
      <w:proofErr w:type="spellStart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>використанням</w:t>
      </w:r>
      <w:proofErr w:type="spellEnd"/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ландшафтного дизайну.</w:t>
      </w:r>
    </w:p>
    <w:p w14:paraId="2F12C393" w14:textId="77777777" w:rsidR="00AA3D5D" w:rsidRPr="0064059B" w:rsidRDefault="00AA3D5D" w:rsidP="00AA3D5D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14:paraId="7DE5BCE2" w14:textId="77777777" w:rsidR="00AA3D5D" w:rsidRPr="0064059B" w:rsidRDefault="00AA3D5D" w:rsidP="00AA3D5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405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</w:t>
      </w:r>
      <w:r w:rsidRPr="0064059B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6405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Обґрунтування</w:t>
      </w:r>
      <w:proofErr w:type="spellEnd"/>
      <w:r w:rsidRPr="006405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бенефіціарів</w:t>
      </w:r>
      <w:proofErr w:type="spellEnd"/>
      <w:r w:rsidRPr="0064059B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проекту </w:t>
      </w:r>
    </w:p>
    <w:p w14:paraId="718C2C2D" w14:textId="77777777" w:rsidR="00AA3D5D" w:rsidRPr="0064059B" w:rsidRDefault="00AA3D5D" w:rsidP="00AA3D5D">
      <w:pPr>
        <w:spacing w:after="0" w:line="240" w:lineRule="auto"/>
        <w:ind w:firstLine="708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Реалізація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проєкту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буде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корисною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мешканців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прилеглих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будинків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(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вул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..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Садова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, О.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Кошового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, Киселенко,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Східна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Лікарняна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)</w:t>
      </w:r>
      <w:r w:rsidRPr="0064059B">
        <w:rPr>
          <w:rFonts w:ascii="Times New Roman" w:hAnsi="Times New Roman" w:cs="Times New Roman"/>
          <w:sz w:val="24"/>
          <w:szCs w:val="24"/>
        </w:rPr>
        <w:t xml:space="preserve"> , в </w:t>
      </w:r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тому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числі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підлітків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та людей з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інвалідністю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мешканців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міста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пересічних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громадян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котрі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проходять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щоденно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прилеглою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територією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14:paraId="2987A0C7" w14:textId="77777777" w:rsidR="00AA3D5D" w:rsidRDefault="00AA3D5D" w:rsidP="00AA3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Прямі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бенефіціари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: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щонайменше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600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осіб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скористаються</w:t>
      </w:r>
      <w:proofErr w:type="spellEnd"/>
      <w:r w:rsidRPr="0064059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платформою,</w:t>
      </w:r>
      <w:r w:rsidRPr="0064059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 312 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дітей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 (0 -17 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), 144 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віком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 18 – 35 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); 104 – 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працездатне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 (35 - 65); 40 </w:t>
      </w:r>
      <w:proofErr w:type="spellStart"/>
      <w:r w:rsidRPr="0064059B">
        <w:rPr>
          <w:rFonts w:ascii="Times New Roman" w:hAnsi="Times New Roman" w:cs="Times New Roman"/>
          <w:sz w:val="24"/>
          <w:szCs w:val="24"/>
        </w:rPr>
        <w:t>літніх</w:t>
      </w:r>
      <w:proofErr w:type="spellEnd"/>
      <w:r w:rsidRPr="0064059B">
        <w:rPr>
          <w:rFonts w:ascii="Times New Roman" w:hAnsi="Times New Roman" w:cs="Times New Roman"/>
          <w:sz w:val="24"/>
          <w:szCs w:val="24"/>
        </w:rPr>
        <w:t xml:space="preserve"> людей </w:t>
      </w:r>
    </w:p>
    <w:p w14:paraId="532FB175" w14:textId="77777777" w:rsidR="00AA3D5D" w:rsidRPr="00411F7D" w:rsidRDefault="00AA3D5D" w:rsidP="00AA3D5D">
      <w:pPr>
        <w:tabs>
          <w:tab w:val="left" w:pos="48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</w:pPr>
      <w:r w:rsidRPr="00411F7D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</w:tblGrid>
      <w:tr w:rsidR="00AA3D5D" w:rsidRPr="00411F7D" w14:paraId="0F7D4015" w14:textId="77777777" w:rsidTr="004140ED">
        <w:trPr>
          <w:trHeight w:val="26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7B410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3AC7F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AA3D5D" w:rsidRPr="00411F7D" w14:paraId="0E0DF193" w14:textId="77777777" w:rsidTr="004140ED">
        <w:trPr>
          <w:trHeight w:val="35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2518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1.Лавка </w:t>
            </w: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«Кл</w:t>
            </w:r>
            <w:proofErr w:type="spellStart"/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асична</w:t>
            </w:r>
            <w:proofErr w:type="spellEnd"/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» 4 штуки х 3000,00</w:t>
            </w:r>
          </w:p>
          <w:p w14:paraId="2D6BDDCA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6095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12000,00 </w:t>
            </w:r>
          </w:p>
        </w:tc>
      </w:tr>
      <w:tr w:rsidR="00AA3D5D" w:rsidRPr="00411F7D" w14:paraId="58CA8498" w14:textId="77777777" w:rsidTr="004140ED">
        <w:trPr>
          <w:trHeight w:val="42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45C8" w14:textId="77777777" w:rsidR="00AA3D5D" w:rsidRPr="00A30AAF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A30AAF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uk-UA" w:eastAsia="ru-RU"/>
              </w:rPr>
              <w:t>2.Урна для сміття – 4 шт</w:t>
            </w:r>
            <w:r w:rsidRPr="00A30AAF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уки х 900,00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D808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3600,00</w:t>
            </w:r>
          </w:p>
        </w:tc>
      </w:tr>
      <w:tr w:rsidR="00AA3D5D" w:rsidRPr="00411F7D" w14:paraId="6B34B8D6" w14:textId="77777777" w:rsidTr="004140ED">
        <w:trPr>
          <w:trHeight w:val="42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A551" w14:textId="77777777" w:rsidR="00AA3D5D" w:rsidRPr="00A30AAF" w:rsidRDefault="00AA3D5D" w:rsidP="004140ED">
            <w:pPr>
              <w:keepNext/>
              <w:keepLines/>
              <w:shd w:val="clear" w:color="auto" w:fill="FFFFFF"/>
              <w:spacing w:after="0" w:line="240" w:lineRule="auto"/>
              <w:outlineLvl w:val="0"/>
              <w:rPr>
                <w:rFonts w:ascii="Times New Roman" w:eastAsiaTheme="majorEastAsia" w:hAnsi="Times New Roman" w:cs="Times New Roman"/>
                <w:i/>
                <w:color w:val="1C1C1C"/>
                <w:sz w:val="24"/>
                <w:szCs w:val="24"/>
                <w:lang w:val="uk-UA"/>
              </w:rPr>
            </w:pPr>
            <w:r w:rsidRPr="00A30AAF">
              <w:rPr>
                <w:rFonts w:ascii="Times New Roman" w:eastAsiaTheme="majorEastAsia" w:hAnsi="Times New Roman" w:cs="Times New Roman"/>
                <w:i/>
                <w:color w:val="1C1C1C"/>
                <w:sz w:val="24"/>
                <w:szCs w:val="24"/>
                <w:lang w:val="uk-UA"/>
              </w:rPr>
              <w:t>Світильник вуличний MAYTONI 26557 - 4 штуки х 1600,00</w:t>
            </w:r>
          </w:p>
          <w:p w14:paraId="79CBF60E" w14:textId="77777777" w:rsidR="00AA3D5D" w:rsidRPr="00A30AAF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B6B01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6400,00</w:t>
            </w:r>
          </w:p>
        </w:tc>
      </w:tr>
      <w:tr w:rsidR="00AA3D5D" w:rsidRPr="00411F7D" w14:paraId="0BD78F8B" w14:textId="77777777" w:rsidTr="004140ED">
        <w:trPr>
          <w:trHeight w:val="58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3E1C7" w14:textId="77777777" w:rsidR="00AA3D5D" w:rsidRPr="00411F7D" w:rsidRDefault="00AA3D5D" w:rsidP="004140ED">
            <w:pPr>
              <w:keepNext/>
              <w:keepLines/>
              <w:shd w:val="clear" w:color="auto" w:fill="FFFFFF"/>
              <w:spacing w:after="0" w:line="630" w:lineRule="atLeast"/>
              <w:outlineLvl w:val="0"/>
              <w:rPr>
                <w:rFonts w:ascii="Times New Roman" w:eastAsiaTheme="majorEastAsia" w:hAnsi="Times New Roman" w:cs="Times New Roman"/>
                <w:color w:val="1C1C1C"/>
                <w:sz w:val="24"/>
                <w:szCs w:val="24"/>
                <w:lang w:val="uk-UA"/>
              </w:rPr>
            </w:pPr>
            <w:r w:rsidRPr="00411F7D"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Вуличні вазони для квітів – 4 штуки х 600,00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968D6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2400,00</w:t>
            </w:r>
          </w:p>
        </w:tc>
      </w:tr>
      <w:tr w:rsidR="00AA3D5D" w:rsidRPr="00411F7D" w14:paraId="631C73FA" w14:textId="77777777" w:rsidTr="004140ED">
        <w:trPr>
          <w:trHeight w:val="50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8B01" w14:textId="77777777" w:rsidR="00AA3D5D" w:rsidRPr="00411F7D" w:rsidRDefault="00AA3D5D" w:rsidP="004140ED">
            <w:pPr>
              <w:keepNext/>
              <w:keepLines/>
              <w:shd w:val="clear" w:color="auto" w:fill="FFFFFF"/>
              <w:spacing w:after="0" w:line="630" w:lineRule="atLeast"/>
              <w:outlineLvl w:val="0"/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Стоянка для велосипедів 1 штука х 3220,00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39875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3220,00</w:t>
            </w:r>
          </w:p>
        </w:tc>
      </w:tr>
      <w:tr w:rsidR="00AA3D5D" w:rsidRPr="00411F7D" w14:paraId="5C389780" w14:textId="77777777" w:rsidTr="004140ED">
        <w:trPr>
          <w:trHeight w:val="70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A35DB" w14:textId="77777777" w:rsidR="00AA3D5D" w:rsidRPr="00411F7D" w:rsidRDefault="00AA3D5D" w:rsidP="004140ED">
            <w:pPr>
              <w:keepNext/>
              <w:keepLines/>
              <w:shd w:val="clear" w:color="auto" w:fill="FFFFFF"/>
              <w:spacing w:after="0" w:line="630" w:lineRule="atLeast"/>
              <w:outlineLvl w:val="0"/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Навіс над </w:t>
            </w:r>
            <w:proofErr w:type="spellStart"/>
            <w:r w:rsidRPr="00411F7D"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ганком</w:t>
            </w:r>
            <w:proofErr w:type="spellEnd"/>
            <w:r w:rsidRPr="00411F7D"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1 штука х 22320,00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EBF3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22320,00</w:t>
            </w:r>
          </w:p>
        </w:tc>
      </w:tr>
      <w:tr w:rsidR="00AA3D5D" w:rsidRPr="00411F7D" w14:paraId="3D3D4BC3" w14:textId="77777777" w:rsidTr="004140ED">
        <w:trPr>
          <w:trHeight w:val="41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8FB9F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ВСЬОГО (за бюджетні кошти):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A861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49940,00</w:t>
            </w:r>
          </w:p>
        </w:tc>
      </w:tr>
      <w:tr w:rsidR="00AA3D5D" w:rsidRPr="00411F7D" w14:paraId="1159FAD2" w14:textId="77777777" w:rsidTr="004140ED">
        <w:trPr>
          <w:trHeight w:val="84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03CFF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Демонтаж сходинок, установка пандуса довжиною 15м – </w:t>
            </w:r>
            <w:proofErr w:type="spellStart"/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немонітарна</w:t>
            </w:r>
            <w:proofErr w:type="spellEnd"/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допомога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F593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Спонсорська допомога в сумі 50 000,00 </w:t>
            </w:r>
          </w:p>
        </w:tc>
      </w:tr>
      <w:tr w:rsidR="00AA3D5D" w:rsidRPr="00411F7D" w14:paraId="6ED64335" w14:textId="77777777" w:rsidTr="004140ED">
        <w:trPr>
          <w:trHeight w:val="40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0BDA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8190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AA3D5D" w:rsidRPr="00411F7D" w14:paraId="529EF5DE" w14:textId="77777777" w:rsidTr="004140ED">
        <w:trPr>
          <w:trHeight w:val="41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368D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Плитка тротуарна 260 м2 х 150,00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28116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39000,00</w:t>
            </w:r>
          </w:p>
        </w:tc>
      </w:tr>
      <w:tr w:rsidR="00AA3D5D" w:rsidRPr="00411F7D" w14:paraId="447B7EAF" w14:textId="77777777" w:rsidTr="004140ED">
        <w:trPr>
          <w:trHeight w:val="55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B2D6D" w14:textId="77777777" w:rsidR="00AA3D5D" w:rsidRPr="00411F7D" w:rsidRDefault="00AA3D5D" w:rsidP="004140ED">
            <w:pPr>
              <w:keepNext/>
              <w:keepLines/>
              <w:shd w:val="clear" w:color="auto" w:fill="FFFFFF"/>
              <w:spacing w:after="0" w:line="630" w:lineRule="atLeast"/>
              <w:outlineLvl w:val="0"/>
              <w:rPr>
                <w:rFonts w:ascii="Times New Roman" w:eastAsiaTheme="majorEastAsia" w:hAnsi="Times New Roman" w:cs="Times New Roman"/>
                <w:color w:val="1C1C1C"/>
                <w:sz w:val="24"/>
                <w:szCs w:val="24"/>
                <w:lang w:val="uk-UA"/>
              </w:rPr>
            </w:pPr>
            <w:r w:rsidRPr="00411F7D">
              <w:rPr>
                <w:rFonts w:ascii="Times New Roman" w:eastAsiaTheme="majorEastAsia" w:hAnsi="Times New Roman" w:cs="Times New Roman"/>
                <w:color w:val="1C1C1C"/>
                <w:sz w:val="24"/>
                <w:szCs w:val="24"/>
                <w:lang w:val="uk-UA"/>
              </w:rPr>
              <w:t>Бордюр 44 штуки х 45,00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7807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1980,00</w:t>
            </w:r>
          </w:p>
        </w:tc>
      </w:tr>
      <w:tr w:rsidR="00AA3D5D" w:rsidRPr="00411F7D" w14:paraId="774A8452" w14:textId="77777777" w:rsidTr="004140ED">
        <w:trPr>
          <w:trHeight w:val="341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C6C1" w14:textId="77777777" w:rsidR="00AA3D5D" w:rsidRPr="00411F7D" w:rsidRDefault="00AA3D5D" w:rsidP="004140ED">
            <w:pP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eastAsiaTheme="majorEastAsia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Цемент 50 мішків х 180,00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0C962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9000,00</w:t>
            </w:r>
          </w:p>
        </w:tc>
      </w:tr>
      <w:tr w:rsidR="00AA3D5D" w:rsidRPr="00411F7D" w14:paraId="5FD1E04E" w14:textId="77777777" w:rsidTr="004140ED">
        <w:trPr>
          <w:trHeight w:val="44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4830" w14:textId="77777777" w:rsidR="00AA3D5D" w:rsidRPr="00411F7D" w:rsidRDefault="00AA3D5D" w:rsidP="004140ED">
            <w:pPr>
              <w:spacing w:after="0" w:line="240" w:lineRule="auto"/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eastAsiaTheme="majorEastAsia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Всього (інші джерела)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F96E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49980,00</w:t>
            </w:r>
          </w:p>
        </w:tc>
      </w:tr>
      <w:tr w:rsidR="00AA3D5D" w:rsidRPr="00411F7D" w14:paraId="79508D11" w14:textId="77777777" w:rsidTr="004140ED">
        <w:trPr>
          <w:trHeight w:val="26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F27F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ПРОЄКТОМ: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A3AA" w14:textId="77777777" w:rsidR="00AA3D5D" w:rsidRPr="00411F7D" w:rsidRDefault="00AA3D5D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411F7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149920,00</w:t>
            </w:r>
          </w:p>
        </w:tc>
      </w:tr>
    </w:tbl>
    <w:p w14:paraId="2240BCFD" w14:textId="77777777" w:rsidR="00965FDE" w:rsidRDefault="00E71687"/>
    <w:sectPr w:rsidR="00965FDE" w:rsidSect="00AA3D5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D5D"/>
    <w:rsid w:val="002D561E"/>
    <w:rsid w:val="005B34F9"/>
    <w:rsid w:val="00AA3D5D"/>
    <w:rsid w:val="00E7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BAF26"/>
  <w15:chartTrackingRefBased/>
  <w15:docId w15:val="{1AE532F7-5A20-41D6-9F59-9D10CA9E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User</cp:lastModifiedBy>
  <cp:revision>3</cp:revision>
  <dcterms:created xsi:type="dcterms:W3CDTF">2021-03-12T07:28:00Z</dcterms:created>
  <dcterms:modified xsi:type="dcterms:W3CDTF">2021-03-17T05:55:00Z</dcterms:modified>
</cp:coreProperties>
</file>